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:rsidR="00CA2D1A" w:rsidRPr="008B31F0" w:rsidRDefault="00CA2D1A" w:rsidP="00657693">
      <w:pPr>
        <w:rPr>
          <w:b/>
        </w:rPr>
      </w:pPr>
    </w:p>
    <w:p w:rsidR="00CA2D1A" w:rsidRPr="008B31F0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:rsidR="00CA2D1A" w:rsidRPr="008B31F0" w:rsidRDefault="00CA2D1A" w:rsidP="00CA2D1A"/>
    <w:p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233375">
        <w:rPr>
          <w:szCs w:val="24"/>
        </w:rPr>
        <w:t>tarybos sprendimas</w:t>
      </w:r>
      <w:r w:rsidRPr="00E34FBD">
        <w:rPr>
          <w:szCs w:val="24"/>
        </w:rPr>
        <w:t xml:space="preserve"> </w:t>
      </w:r>
      <w:r>
        <w:rPr>
          <w:szCs w:val="24"/>
        </w:rPr>
        <w:t>„</w:t>
      </w:r>
      <w:r w:rsidR="0064282B">
        <w:rPr>
          <w:caps/>
        </w:rPr>
        <w:t xml:space="preserve">Dėl Jurbarko rajono savivaldybės </w:t>
      </w:r>
      <w:r w:rsidR="00233375">
        <w:rPr>
          <w:caps/>
        </w:rPr>
        <w:t>BIUDŽETO SUDARYMO IR VYKDYMO</w:t>
      </w:r>
      <w:r w:rsidR="00000C82">
        <w:rPr>
          <w:caps/>
        </w:rPr>
        <w:t xml:space="preserve"> TAISYKLIŲ PATVIRTINIMO“.</w:t>
      </w:r>
      <w:r w:rsidR="0064282B">
        <w:rPr>
          <w:caps/>
        </w:rPr>
        <w:t xml:space="preserve"> </w:t>
      </w: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233375">
        <w:t>Finansų skyriaus vedėja Audronė Stoškienė.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4"/>
        <w:gridCol w:w="2938"/>
        <w:gridCol w:w="829"/>
        <w:gridCol w:w="1505"/>
        <w:gridCol w:w="2081"/>
        <w:gridCol w:w="2574"/>
      </w:tblGrid>
      <w:tr w:rsidR="00B25F92" w:rsidRPr="008B31F0" w:rsidTr="009C05AC">
        <w:trPr>
          <w:trHeight w:val="23"/>
          <w:tblHeader/>
        </w:trPr>
        <w:tc>
          <w:tcPr>
            <w:tcW w:w="698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23" w:type="dxa"/>
            <w:gridSpan w:val="2"/>
          </w:tcPr>
          <w:p w:rsidR="00CA2D1A" w:rsidRPr="008B31F0" w:rsidRDefault="006564E3" w:rsidP="00B24903">
            <w:pPr>
              <w:jc w:val="both"/>
              <w:rPr>
                <w:b/>
              </w:rPr>
            </w:pPr>
            <w:r>
              <w:t>Projektas</w:t>
            </w:r>
            <w:r w:rsidR="0096417D">
              <w:t xml:space="preserve"> parengtas vadovaujantis Lietuvos Respublikos vietos savivaldos įstatymo </w:t>
            </w:r>
            <w:r w:rsidR="0085472A">
              <w:t>16</w:t>
            </w:r>
            <w:r w:rsidR="0096417D">
              <w:t xml:space="preserve"> str</w:t>
            </w:r>
            <w:r w:rsidR="00186947">
              <w:t>aipsnio</w:t>
            </w:r>
            <w:r w:rsidR="0096417D">
              <w:t xml:space="preserve"> </w:t>
            </w:r>
            <w:r w:rsidR="00541FD6">
              <w:t>2</w:t>
            </w:r>
            <w:r w:rsidR="0096417D">
              <w:t xml:space="preserve"> dalies </w:t>
            </w:r>
            <w:r w:rsidR="00541FD6">
              <w:t>36</w:t>
            </w:r>
            <w:r w:rsidR="0096417D">
              <w:t xml:space="preserve"> punktu</w:t>
            </w:r>
            <w:r w:rsidR="0064282B">
              <w:t>,</w:t>
            </w:r>
            <w:r w:rsidR="00541FD6">
              <w:t xml:space="preserve"> 18 straipsnio 1 dalimi, </w:t>
            </w:r>
            <w:r w:rsidR="0064282B">
              <w:t xml:space="preserve"> Lietuvos Respublikos </w:t>
            </w:r>
            <w:r w:rsidR="00541FD6">
              <w:lastRenderedPageBreak/>
              <w:t>valstybės biudžeto ir savivaldybių biudžetų sudarymo ir vykdymo taisyklėmis</w:t>
            </w:r>
            <w:r w:rsidR="00B24903">
              <w:t xml:space="preserve"> ir </w:t>
            </w:r>
            <w:r w:rsidR="0096417D">
              <w:t>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:rsidR="00CA2D1A" w:rsidRPr="008B31F0" w:rsidRDefault="00CA2D1A" w:rsidP="004F3E3B"/>
        </w:tc>
        <w:tc>
          <w:tcPr>
            <w:tcW w:w="3823" w:type="dxa"/>
            <w:gridSpan w:val="2"/>
          </w:tcPr>
          <w:p w:rsidR="00EA30AA" w:rsidRDefault="00EA30AA" w:rsidP="00EA30AA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  <w:r w:rsidR="00C83AC3">
              <w:t>Projektas</w:t>
            </w:r>
            <w:r>
              <w:t xml:space="preserve"> nu</w:t>
            </w:r>
            <w:r w:rsidR="00C83AC3">
              <w:t xml:space="preserve">mato </w:t>
            </w:r>
            <w:r w:rsidR="00DC3399">
              <w:t>savivaldybės biudžeto projekto rengimo tvarką, programų sąmatas, biudžeto projekto tvirtinimą</w:t>
            </w:r>
            <w:r w:rsidR="0039463F">
              <w:t>,</w:t>
            </w:r>
            <w:r w:rsidR="00EE72CF">
              <w:t xml:space="preserve"> </w:t>
            </w:r>
            <w:r>
              <w:t>tačiau nenustato ir neturi nustatyti sprendimų dėl teisių suteikimo, apribojimų nustatymo, san</w:t>
            </w:r>
            <w:r w:rsidR="001B76A9">
              <w:t>kcijų taikymo ir pan.</w:t>
            </w:r>
          </w:p>
          <w:p w:rsidR="00CA2D1A" w:rsidRPr="008B31F0" w:rsidRDefault="00CA2D1A" w:rsidP="00EA30AA">
            <w:pPr>
              <w:jc w:val="both"/>
            </w:pP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:rsidR="00CA2D1A" w:rsidRPr="008B31F0" w:rsidRDefault="0039463F" w:rsidP="001B0CD9">
            <w:pPr>
              <w:jc w:val="both"/>
            </w:pPr>
            <w:r>
              <w:t>Nenustatyta.</w:t>
            </w:r>
            <w:r w:rsidR="002333AA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:rsidR="00CA2D1A" w:rsidRPr="008B31F0" w:rsidRDefault="0045567E" w:rsidP="0045567E">
            <w:pPr>
              <w:tabs>
                <w:tab w:val="left" w:pos="1134"/>
              </w:tabs>
              <w:jc w:val="both"/>
            </w:pPr>
            <w:r>
              <w:t>Punktas netaikomas, nes išimtys nenumatytos.</w:t>
            </w:r>
            <w:r w:rsidR="005C2714">
              <w:t xml:space="preserve"> 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:rsidR="00CA2D1A" w:rsidRPr="008B31F0" w:rsidRDefault="0039463F" w:rsidP="00660809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:rsidR="00CA2D1A" w:rsidRPr="00452398" w:rsidRDefault="00452398" w:rsidP="000C28C0">
            <w:pPr>
              <w:jc w:val="both"/>
            </w:pPr>
            <w:r w:rsidRPr="00452398">
              <w:t>Netaikoma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:rsidR="00CA2D1A" w:rsidRPr="008B31F0" w:rsidRDefault="00CA2D1A" w:rsidP="004F3E3B">
            <w:r w:rsidRPr="008B31F0">
              <w:t>9.4. narių rotacija ir kadencijų skaičius ir trukmė;</w:t>
            </w:r>
          </w:p>
          <w:p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:rsidR="00562593" w:rsidRPr="00562593" w:rsidRDefault="0039463F" w:rsidP="00572ABE">
            <w:pPr>
              <w:jc w:val="both"/>
            </w:pPr>
            <w:r>
              <w:lastRenderedPageBreak/>
              <w:t>Netaikoma.</w:t>
            </w:r>
          </w:p>
        </w:tc>
        <w:tc>
          <w:tcPr>
            <w:tcW w:w="3663" w:type="dxa"/>
            <w:gridSpan w:val="2"/>
          </w:tcPr>
          <w:p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823" w:type="dxa"/>
            <w:gridSpan w:val="2"/>
          </w:tcPr>
          <w:p w:rsidR="00CA2D1A" w:rsidRPr="008B31F0" w:rsidRDefault="0039463F" w:rsidP="000C28C0">
            <w:pPr>
              <w:jc w:val="both"/>
            </w:pPr>
            <w:r>
              <w:t>Administracinės procedūros privalomumą nustato Vietos savivaldos įstatymas bei Lietuvos Respublikos valstybės biudžeto ir savivaldybių biudžetų sudarymo ir vykdymo taisyklės.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lastRenderedPageBreak/>
              <w:t>11.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:rsidR="00801E5E" w:rsidRDefault="006132F4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Nenustatyta.</w:t>
            </w:r>
          </w:p>
          <w:p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:rsidR="00CA2D1A" w:rsidRPr="008B31F0" w:rsidRDefault="008E759F" w:rsidP="006044CB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23" w:type="dxa"/>
            <w:gridSpan w:val="2"/>
          </w:tcPr>
          <w:p w:rsidR="00CA2D1A" w:rsidRPr="008B31F0" w:rsidRDefault="006132F4" w:rsidP="00801E5E">
            <w:r>
              <w:t>Numatyta aukštesnės galios teisės aktuose.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lastRenderedPageBreak/>
              <w:t>16.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:rsidR="00CA2D1A" w:rsidRPr="008B31F0" w:rsidRDefault="005570D1" w:rsidP="00186947">
            <w:r>
              <w:t>Neaktualu</w:t>
            </w:r>
            <w:r w:rsidR="00E51903">
              <w:t>.</w:t>
            </w:r>
            <w:r w:rsidR="00186947">
              <w:t xml:space="preserve"> Teisės akto projektas nenumato kontrolės(priežiūros) skaidrumo ir objektyvumo užtikrinimo priemonių, tačiau pastarąsias nustato kontrolę (priežiūrą) vykdančių institucijų leidžiami teisės aktai.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:rsidR="00CA2D1A" w:rsidRPr="00657693" w:rsidRDefault="00801E5E" w:rsidP="007324A6">
            <w:pPr>
              <w:keepNext/>
              <w:jc w:val="both"/>
            </w:pPr>
            <w:r>
              <w:t>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:rsidR="00CA2D1A" w:rsidRPr="008B31F0" w:rsidRDefault="00CA2D1A" w:rsidP="004F3E3B">
            <w:pPr>
              <w:keepNext/>
            </w:pPr>
            <w:r w:rsidRPr="008B31F0">
              <w:t>□ tenkina</w:t>
            </w:r>
          </w:p>
          <w:p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:rsidTr="009C05AC">
        <w:trPr>
          <w:trHeight w:val="23"/>
        </w:trPr>
        <w:tc>
          <w:tcPr>
            <w:tcW w:w="698" w:type="dxa"/>
          </w:tcPr>
          <w:p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:rsidR="00CA2D1A" w:rsidRPr="008B31F0" w:rsidRDefault="00CA2D1A" w:rsidP="004F3E3B"/>
        </w:tc>
        <w:tc>
          <w:tcPr>
            <w:tcW w:w="2617" w:type="dxa"/>
          </w:tcPr>
          <w:p w:rsidR="00CA2D1A" w:rsidRPr="008B31F0" w:rsidRDefault="00CA2D1A" w:rsidP="004F3E3B">
            <w:r w:rsidRPr="008B31F0">
              <w:t>□ tenkina</w:t>
            </w:r>
          </w:p>
          <w:p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/>
          <w:p w:rsidR="00CA2D1A" w:rsidRPr="008B31F0" w:rsidRDefault="006132F4" w:rsidP="002A279A">
            <w:r>
              <w:t>Finansų skyriaus vedėja Audronė Stoškienė</w:t>
            </w:r>
            <w:bookmarkStart w:id="0" w:name="_GoBack"/>
            <w:bookmarkEnd w:id="0"/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  <w:p w:rsidR="00CA2D1A" w:rsidRPr="008B31F0" w:rsidRDefault="00CA2D1A" w:rsidP="004F3E3B">
            <w:r w:rsidRPr="008B31F0"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657693" w:rsidRDefault="00657693" w:rsidP="004F3E3B"/>
          <w:p w:rsidR="00657693" w:rsidRDefault="00657693" w:rsidP="00657693"/>
          <w:p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:rsidR="00CA2D1A" w:rsidRDefault="00CA2D1A" w:rsidP="004F3E3B"/>
          <w:p w:rsidR="00CA2D1A" w:rsidRPr="008B31F0" w:rsidRDefault="00CA2D1A" w:rsidP="004F3E3B"/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:rsidR="00CA2D1A" w:rsidRPr="008B31F0" w:rsidRDefault="00CA2D1A" w:rsidP="004F3E3B"/>
        </w:tc>
        <w:tc>
          <w:tcPr>
            <w:tcW w:w="4594" w:type="dxa"/>
            <w:gridSpan w:val="2"/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:rsidR="00A704A7" w:rsidRDefault="00FA6A02" w:rsidP="009C05AC"/>
    <w:sectPr w:rsidR="00A704A7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A02" w:rsidRDefault="00FA6A02" w:rsidP="00CA2D1A">
      <w:r>
        <w:separator/>
      </w:r>
    </w:p>
  </w:endnote>
  <w:endnote w:type="continuationSeparator" w:id="0">
    <w:p w:rsidR="00FA6A02" w:rsidRDefault="00FA6A02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A02" w:rsidRDefault="00FA6A02" w:rsidP="00CA2D1A">
      <w:r>
        <w:separator/>
      </w:r>
    </w:p>
  </w:footnote>
  <w:footnote w:type="continuationSeparator" w:id="0">
    <w:p w:rsidR="00FA6A02" w:rsidRDefault="00FA6A02" w:rsidP="00CA2D1A">
      <w:r>
        <w:continuationSeparator/>
      </w:r>
    </w:p>
  </w:footnote>
  <w:footnote w:id="1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1A"/>
    <w:rsid w:val="00000651"/>
    <w:rsid w:val="00000C82"/>
    <w:rsid w:val="00024033"/>
    <w:rsid w:val="000B1A76"/>
    <w:rsid w:val="000B3861"/>
    <w:rsid w:val="000C28C0"/>
    <w:rsid w:val="000D1EE0"/>
    <w:rsid w:val="000D4AB9"/>
    <w:rsid w:val="000F25F4"/>
    <w:rsid w:val="00130AEA"/>
    <w:rsid w:val="00160116"/>
    <w:rsid w:val="00182B82"/>
    <w:rsid w:val="00186947"/>
    <w:rsid w:val="00192DC6"/>
    <w:rsid w:val="001A3A7B"/>
    <w:rsid w:val="001B0CD9"/>
    <w:rsid w:val="001B76A9"/>
    <w:rsid w:val="001C11E4"/>
    <w:rsid w:val="00233375"/>
    <w:rsid w:val="002333AA"/>
    <w:rsid w:val="00253B7F"/>
    <w:rsid w:val="00267041"/>
    <w:rsid w:val="002947A3"/>
    <w:rsid w:val="002A279A"/>
    <w:rsid w:val="002A2B67"/>
    <w:rsid w:val="00372B8A"/>
    <w:rsid w:val="00375955"/>
    <w:rsid w:val="0039463F"/>
    <w:rsid w:val="00440225"/>
    <w:rsid w:val="00443FA4"/>
    <w:rsid w:val="00452398"/>
    <w:rsid w:val="0045567E"/>
    <w:rsid w:val="00457DC6"/>
    <w:rsid w:val="004807FC"/>
    <w:rsid w:val="004D734E"/>
    <w:rsid w:val="005370A5"/>
    <w:rsid w:val="00537A5A"/>
    <w:rsid w:val="00541FD6"/>
    <w:rsid w:val="005570D1"/>
    <w:rsid w:val="00562593"/>
    <w:rsid w:val="0057107A"/>
    <w:rsid w:val="00572ABE"/>
    <w:rsid w:val="005931EB"/>
    <w:rsid w:val="005B2B38"/>
    <w:rsid w:val="005C2714"/>
    <w:rsid w:val="005F32C3"/>
    <w:rsid w:val="006044CB"/>
    <w:rsid w:val="006132F4"/>
    <w:rsid w:val="0064282B"/>
    <w:rsid w:val="006564E3"/>
    <w:rsid w:val="00657693"/>
    <w:rsid w:val="00660809"/>
    <w:rsid w:val="00660BDD"/>
    <w:rsid w:val="006705D6"/>
    <w:rsid w:val="00674A2D"/>
    <w:rsid w:val="006A0C43"/>
    <w:rsid w:val="006E7D64"/>
    <w:rsid w:val="007324A6"/>
    <w:rsid w:val="00734E3C"/>
    <w:rsid w:val="00764E6D"/>
    <w:rsid w:val="0077114F"/>
    <w:rsid w:val="00790917"/>
    <w:rsid w:val="00795C33"/>
    <w:rsid w:val="00801E5E"/>
    <w:rsid w:val="00805D48"/>
    <w:rsid w:val="00835872"/>
    <w:rsid w:val="00836B59"/>
    <w:rsid w:val="0085472A"/>
    <w:rsid w:val="00867C7E"/>
    <w:rsid w:val="008E759F"/>
    <w:rsid w:val="008F2EE0"/>
    <w:rsid w:val="00932336"/>
    <w:rsid w:val="0096417D"/>
    <w:rsid w:val="009C05AC"/>
    <w:rsid w:val="009D16C2"/>
    <w:rsid w:val="00A14CA1"/>
    <w:rsid w:val="00A419D8"/>
    <w:rsid w:val="00A53563"/>
    <w:rsid w:val="00A9468F"/>
    <w:rsid w:val="00AF2528"/>
    <w:rsid w:val="00AF4B5F"/>
    <w:rsid w:val="00B020CB"/>
    <w:rsid w:val="00B24903"/>
    <w:rsid w:val="00B25F92"/>
    <w:rsid w:val="00B81316"/>
    <w:rsid w:val="00BE29A3"/>
    <w:rsid w:val="00C00EE2"/>
    <w:rsid w:val="00C27083"/>
    <w:rsid w:val="00C53405"/>
    <w:rsid w:val="00C8122C"/>
    <w:rsid w:val="00C83AC3"/>
    <w:rsid w:val="00CA2D1A"/>
    <w:rsid w:val="00CD18E7"/>
    <w:rsid w:val="00CD20D3"/>
    <w:rsid w:val="00D0344C"/>
    <w:rsid w:val="00D64245"/>
    <w:rsid w:val="00D726CD"/>
    <w:rsid w:val="00DC3399"/>
    <w:rsid w:val="00DE5B7A"/>
    <w:rsid w:val="00E0316F"/>
    <w:rsid w:val="00E255EF"/>
    <w:rsid w:val="00E32AB5"/>
    <w:rsid w:val="00E51903"/>
    <w:rsid w:val="00EA30AA"/>
    <w:rsid w:val="00EA7E86"/>
    <w:rsid w:val="00EE72CF"/>
    <w:rsid w:val="00F36C55"/>
    <w:rsid w:val="00FA6A02"/>
    <w:rsid w:val="00FB09AB"/>
    <w:rsid w:val="00FC39FD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D518"/>
  <w15:docId w15:val="{820F2A38-45AF-4014-805E-647A09DE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4509</Words>
  <Characters>2571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Laima Keraite</cp:lastModifiedBy>
  <cp:revision>7</cp:revision>
  <cp:lastPrinted>2014-12-18T07:09:00Z</cp:lastPrinted>
  <dcterms:created xsi:type="dcterms:W3CDTF">2019-08-06T11:47:00Z</dcterms:created>
  <dcterms:modified xsi:type="dcterms:W3CDTF">2019-08-06T12:22:00Z</dcterms:modified>
</cp:coreProperties>
</file>