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34CF2810" w:rsidR="00FC1CD3" w:rsidRDefault="00F944C4" w:rsidP="00F944C4">
      <w:pPr>
        <w:jc w:val="right"/>
      </w:pPr>
      <w:r>
        <w:t xml:space="preserve"> P</w:t>
      </w:r>
      <w:r w:rsidR="00F320CA" w:rsidRPr="007D312A">
        <w:t>rojektas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6A7549E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56F6462A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F944C4">
              <w:t>birželio</w:t>
            </w:r>
            <w:r>
              <w:t xml:space="preserve"> </w:t>
            </w:r>
            <w:r w:rsidR="00A52F42">
              <w:t xml:space="preserve">12 </w:t>
            </w:r>
            <w:r>
              <w:t xml:space="preserve">d. </w:t>
            </w:r>
            <w:r w:rsidR="00F20019" w:rsidRPr="005231DA">
              <w:t xml:space="preserve">Nr. </w:t>
            </w:r>
            <w:r>
              <w:t>TSP-</w:t>
            </w:r>
            <w:r w:rsidR="00A52F42">
              <w:t>248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698B27EF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.1.</w:t>
      </w:r>
      <w:r w:rsidRPr="00366841">
        <w:t xml:space="preserve"> papunktį ir jį išdėstyti taip:</w:t>
      </w:r>
    </w:p>
    <w:p w14:paraId="2FAE066F" w14:textId="47F0B710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00547A" w:rsidRPr="0000547A">
        <w:t>57</w:t>
      </w:r>
      <w:r w:rsidR="00763DC1" w:rsidRPr="0000547A">
        <w:t> </w:t>
      </w:r>
      <w:r w:rsidR="0000547A" w:rsidRPr="0000547A">
        <w:t>760</w:t>
      </w:r>
      <w:r w:rsidR="00763DC1" w:rsidRPr="0000547A">
        <w:rPr>
          <w:sz w:val="22"/>
          <w:szCs w:val="22"/>
        </w:rPr>
        <w:t> </w:t>
      </w:r>
      <w:r w:rsidR="0000547A" w:rsidRPr="0000547A">
        <w:t>377</w:t>
      </w:r>
      <w:r w:rsidRPr="0000547A">
        <w:t xml:space="preserve"> 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DD1CC7" w:rsidRPr="0000547A">
        <w:t> </w:t>
      </w:r>
      <w:r w:rsidR="00DD1CC7" w:rsidRPr="00DD1CC7">
        <w:rPr>
          <w:b/>
          <w:bCs/>
        </w:rPr>
        <w:t>–</w:t>
      </w:r>
      <w:r w:rsidR="00C43FB3" w:rsidRPr="0000547A">
        <w:t xml:space="preserve"> 1</w:t>
      </w:r>
      <w:r w:rsidR="00763DC1" w:rsidRPr="0000547A">
        <w:t> </w:t>
      </w:r>
      <w:r w:rsidR="00B61E33" w:rsidRPr="0000547A">
        <w:t>2</w:t>
      </w:r>
      <w:r w:rsidR="0000547A" w:rsidRPr="0000547A">
        <w:t>53</w:t>
      </w:r>
      <w:r w:rsidR="00763DC1" w:rsidRPr="0000547A">
        <w:rPr>
          <w:sz w:val="22"/>
          <w:szCs w:val="22"/>
        </w:rPr>
        <w:t> </w:t>
      </w:r>
      <w:r w:rsidR="00E2107C" w:rsidRPr="0000547A">
        <w:t>740</w:t>
      </w:r>
      <w:r w:rsidR="00B61E33" w:rsidRPr="0000547A">
        <w:t xml:space="preserve"> </w:t>
      </w:r>
      <w:r w:rsidR="00C43FB3" w:rsidRPr="0000547A">
        <w:t xml:space="preserve">Eur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B194A07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</w:t>
      </w:r>
      <w:r w:rsidR="00B61E33" w:rsidRPr="0000547A">
        <w:t>.</w:t>
      </w:r>
      <w:r w:rsidRPr="0000547A">
        <w:t xml:space="preserve"> papunktį ir jį išdėstyti taip: </w:t>
      </w:r>
    </w:p>
    <w:p w14:paraId="38C084C0" w14:textId="78ABC5AA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EB3D1D" w:rsidRPr="0000547A">
        <w:t>57</w:t>
      </w:r>
      <w:r w:rsidR="00763DC1" w:rsidRPr="0000547A">
        <w:t> </w:t>
      </w:r>
      <w:r w:rsidR="0000547A" w:rsidRPr="0000547A">
        <w:t>760</w:t>
      </w:r>
      <w:r w:rsidR="00763DC1" w:rsidRPr="0000547A">
        <w:rPr>
          <w:sz w:val="22"/>
          <w:szCs w:val="22"/>
        </w:rPr>
        <w:t> </w:t>
      </w:r>
      <w:r w:rsidR="0000547A" w:rsidRPr="0000547A">
        <w:t>377</w:t>
      </w:r>
      <w:r w:rsidRPr="0000547A">
        <w:t xml:space="preserve"> Eur (</w:t>
      </w:r>
      <w:r w:rsidR="00B61E33" w:rsidRPr="0000547A">
        <w:t>3</w:t>
      </w:r>
      <w:r w:rsidRPr="0000547A">
        <w:t xml:space="preserve"> priedas), iš jų:“;</w:t>
      </w:r>
    </w:p>
    <w:p w14:paraId="4CB18CC5" w14:textId="7A2A8DEE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</w:t>
      </w:r>
      <w:r w:rsidR="006037FC" w:rsidRPr="0000547A">
        <w:t>.</w:t>
      </w:r>
      <w:r w:rsidRPr="0000547A">
        <w:t xml:space="preserve"> papunktį ir jį išdėstyti taip:</w:t>
      </w:r>
    </w:p>
    <w:p w14:paraId="5272454C" w14:textId="627B830C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EB3D1D" w:rsidRPr="0000547A">
        <w:t>56 </w:t>
      </w:r>
      <w:r w:rsidR="0000547A" w:rsidRPr="0000547A">
        <w:t>801</w:t>
      </w:r>
      <w:r w:rsidR="00E2107C" w:rsidRPr="0000547A">
        <w:t> </w:t>
      </w:r>
      <w:r w:rsidR="0000547A" w:rsidRPr="0000547A">
        <w:t>697</w:t>
      </w:r>
      <w:r w:rsidR="00E2107C" w:rsidRPr="0000547A">
        <w:t xml:space="preserve"> </w:t>
      </w:r>
      <w:r w:rsidRPr="0000547A">
        <w:t>Eur“</w:t>
      </w:r>
      <w:r w:rsidR="00DD1CC7">
        <w:t>;</w:t>
      </w:r>
    </w:p>
    <w:p w14:paraId="04D94563" w14:textId="3A198A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293AEE77" w14:textId="77777777" w:rsidR="003D60DF" w:rsidRDefault="003D60DF" w:rsidP="003D60DF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D26E999" w14:textId="77777777" w:rsidR="00D95DCE" w:rsidRDefault="00D95DCE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79E6D7DD" w14:textId="7CB308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A314F7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1E85A63E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9E2ED5">
        <w:t>birželio</w:t>
      </w:r>
      <w:r>
        <w:t xml:space="preserve"> </w:t>
      </w:r>
      <w:r w:rsidR="00A52F42">
        <w:t>12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12DE7931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276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529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7A79C628" w:rsidR="008D39A5" w:rsidRDefault="0000547A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0547A">
              <w:rPr>
                <w:sz w:val="22"/>
                <w:szCs w:val="22"/>
              </w:rPr>
              <w:t>270</w:t>
            </w:r>
            <w:r w:rsidR="008D39A5" w:rsidRPr="0000547A">
              <w:rPr>
                <w:sz w:val="22"/>
                <w:szCs w:val="22"/>
              </w:rPr>
              <w:t> </w:t>
            </w:r>
            <w:r w:rsidRPr="0000547A">
              <w:rPr>
                <w:sz w:val="22"/>
                <w:szCs w:val="22"/>
              </w:rPr>
              <w:t>017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>
              <w:rPr>
                <w:sz w:val="22"/>
                <w:szCs w:val="22"/>
              </w:rPr>
              <w:t>7</w:t>
            </w:r>
            <w:r w:rsidR="008D39A5" w:rsidRPr="00763DC1">
              <w:rPr>
                <w:sz w:val="22"/>
                <w:szCs w:val="22"/>
              </w:rPr>
              <w:t xml:space="preserve"> projektams vykdyti).</w:t>
            </w:r>
          </w:p>
          <w:p w14:paraId="6DD19231" w14:textId="1A3076E8" w:rsidR="00F944C4" w:rsidRDefault="00F944C4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1 512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2025 m. I </w:t>
            </w:r>
            <w:proofErr w:type="spellStart"/>
            <w:r>
              <w:rPr>
                <w:sz w:val="22"/>
                <w:szCs w:val="22"/>
              </w:rPr>
              <w:t>ketv</w:t>
            </w:r>
            <w:proofErr w:type="spellEnd"/>
            <w:r>
              <w:rPr>
                <w:sz w:val="22"/>
                <w:szCs w:val="22"/>
              </w:rPr>
              <w:t>. teikiant akredituotai Ukrainos vaikų dienos socialinei priežiūrai, padengti.</w:t>
            </w:r>
          </w:p>
          <w:p w14:paraId="19D0380C" w14:textId="70C2F00E" w:rsidR="00F944C4" w:rsidRDefault="009E2ED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 Eur </w:t>
            </w:r>
            <w:r w:rsidRPr="00763DC1">
              <w:rPr>
                <w:sz w:val="22"/>
                <w:szCs w:val="22"/>
              </w:rPr>
              <w:t xml:space="preserve">pajamos už prekes ir </w:t>
            </w:r>
            <w:r>
              <w:rPr>
                <w:sz w:val="22"/>
                <w:szCs w:val="22"/>
              </w:rPr>
              <w:t xml:space="preserve">teikiamas </w:t>
            </w:r>
            <w:r w:rsidRPr="00763DC1">
              <w:rPr>
                <w:sz w:val="22"/>
                <w:szCs w:val="22"/>
              </w:rPr>
              <w:t>paslaugas</w:t>
            </w:r>
            <w:r w:rsidR="0000547A">
              <w:rPr>
                <w:sz w:val="22"/>
                <w:szCs w:val="22"/>
              </w:rPr>
              <w:t xml:space="preserve"> </w:t>
            </w:r>
            <w:r w:rsidR="0000547A" w:rsidRPr="00763DC1">
              <w:rPr>
                <w:sz w:val="22"/>
                <w:szCs w:val="22"/>
              </w:rPr>
              <w:t>(Seredžiaus senelių globos namams)</w:t>
            </w:r>
            <w:r w:rsidR="00DD1CC7">
              <w:rPr>
                <w:sz w:val="22"/>
                <w:szCs w:val="22"/>
              </w:rPr>
              <w:t>.</w:t>
            </w:r>
          </w:p>
          <w:p w14:paraId="140EA7ED" w14:textId="5078C4D3" w:rsidR="00F944C4" w:rsidRDefault="00F944C4" w:rsidP="00F944C4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12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00547A" w:rsidRPr="0000547A">
              <w:rPr>
                <w:b/>
                <w:bCs/>
                <w:sz w:val="22"/>
                <w:szCs w:val="22"/>
                <w:u w:val="single"/>
              </w:rPr>
              <w:t>000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09A7921F" w14:textId="26BB3D1B" w:rsidR="00F944C4" w:rsidRPr="0000547A" w:rsidRDefault="008C02FE" w:rsidP="00377D9B">
            <w:pPr>
              <w:pStyle w:val="Porat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0547A">
              <w:rPr>
                <w:sz w:val="22"/>
                <w:szCs w:val="22"/>
              </w:rPr>
              <w:t xml:space="preserve">12 000 Eur </w:t>
            </w:r>
            <w:r w:rsidR="009E2ED5" w:rsidRPr="0000547A">
              <w:rPr>
                <w:sz w:val="22"/>
                <w:szCs w:val="22"/>
              </w:rPr>
              <w:t>Socialinės apsaugos ir darbo ministerijos lėšos, skirtos b</w:t>
            </w:r>
            <w:r w:rsidRPr="0000547A">
              <w:rPr>
                <w:sz w:val="22"/>
                <w:szCs w:val="22"/>
              </w:rPr>
              <w:t>ūsto nuomos</w:t>
            </w:r>
            <w:r w:rsidR="009E2ED5" w:rsidRPr="0000547A">
              <w:rPr>
                <w:sz w:val="22"/>
                <w:szCs w:val="22"/>
              </w:rPr>
              <w:t xml:space="preserve"> ar</w:t>
            </w:r>
            <w:r w:rsidRPr="0000547A">
              <w:rPr>
                <w:sz w:val="22"/>
                <w:szCs w:val="22"/>
              </w:rPr>
              <w:t xml:space="preserve"> išperkamosios nuomos mokesči</w:t>
            </w:r>
            <w:r w:rsidR="009E2ED5" w:rsidRPr="0000547A">
              <w:rPr>
                <w:sz w:val="22"/>
                <w:szCs w:val="22"/>
              </w:rPr>
              <w:t>o daliai</w:t>
            </w:r>
            <w:r w:rsidRPr="0000547A">
              <w:rPr>
                <w:sz w:val="22"/>
                <w:szCs w:val="22"/>
              </w:rPr>
              <w:t xml:space="preserve"> kompens</w:t>
            </w:r>
            <w:r w:rsidR="009E2ED5" w:rsidRPr="0000547A">
              <w:rPr>
                <w:sz w:val="22"/>
                <w:szCs w:val="22"/>
              </w:rPr>
              <w:t>uoti.</w:t>
            </w:r>
          </w:p>
          <w:p w14:paraId="4855EFF0" w14:textId="737C7BD5" w:rsidR="00CB5D1A" w:rsidRPr="005E689F" w:rsidRDefault="00CB5D1A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63DC1">
              <w:rPr>
                <w:sz w:val="22"/>
                <w:szCs w:val="22"/>
              </w:rPr>
              <w:t>Nauja redakcija išdėstomi Sprendimo 1–</w:t>
            </w:r>
            <w:r w:rsidR="00E2107C" w:rsidRPr="00763DC1">
              <w:rPr>
                <w:sz w:val="22"/>
                <w:szCs w:val="22"/>
              </w:rPr>
              <w:t>3</w:t>
            </w:r>
            <w:r w:rsidRPr="00763DC1">
              <w:rPr>
                <w:sz w:val="22"/>
                <w:szCs w:val="22"/>
              </w:rPr>
              <w:t xml:space="preserve"> priedai.</w:t>
            </w:r>
            <w:r w:rsidRPr="009D7DBA">
              <w:rPr>
                <w:sz w:val="22"/>
                <w:szCs w:val="22"/>
              </w:rPr>
              <w:t xml:space="preserve">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0719EFF4" w:rsidR="00CB5D1A" w:rsidRPr="008C02FE" w:rsidRDefault="008C02FE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C02FE">
              <w:rPr>
                <w:sz w:val="22"/>
                <w:szCs w:val="22"/>
              </w:rPr>
              <w:t>Nėra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71FBD2C" w14:textId="77777777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444307B7" w14:textId="77777777" w:rsidR="00FC32F1" w:rsidRDefault="00FC32F1" w:rsidP="00B668F0"/>
    <w:p w14:paraId="09AD7B4C" w14:textId="77777777" w:rsidR="009E630B" w:rsidRDefault="009E630B" w:rsidP="00FC32F1">
      <w:pPr>
        <w:jc w:val="right"/>
        <w:rPr>
          <w:b/>
          <w:bCs/>
        </w:rPr>
      </w:pPr>
    </w:p>
    <w:p w14:paraId="36999B5D" w14:textId="77777777" w:rsidR="00A52F42" w:rsidRDefault="00A52F42" w:rsidP="00FC32F1">
      <w:pPr>
        <w:jc w:val="right"/>
        <w:rPr>
          <w:b/>
          <w:bCs/>
        </w:rPr>
      </w:pPr>
    </w:p>
    <w:p w14:paraId="6C1848C9" w14:textId="08476926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7D55C610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38E99242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E663B6">
              <w:t>birželio</w:t>
            </w:r>
            <w:r>
              <w:t xml:space="preserve">        d. </w:t>
            </w:r>
            <w:r w:rsidRPr="005231DA">
              <w:t xml:space="preserve">Nr. </w:t>
            </w:r>
            <w:r>
              <w:t>TSP-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2D90C7D7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.1.</w:t>
      </w:r>
      <w:r w:rsidRPr="00366841">
        <w:t xml:space="preserve"> papunktį ir jį išdėstyti taip:</w:t>
      </w:r>
    </w:p>
    <w:p w14:paraId="27EDE58E" w14:textId="092E168F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F52AAF" w:rsidRPr="00F52AAF">
        <w:t xml:space="preserve"> </w:t>
      </w:r>
      <w:r w:rsidR="00E346E1" w:rsidRPr="00F52AAF">
        <w:rPr>
          <w:strike/>
        </w:rPr>
        <w:t>57 495</w:t>
      </w:r>
      <w:r w:rsidR="00E346E1" w:rsidRPr="00F52AAF">
        <w:rPr>
          <w:strike/>
          <w:sz w:val="22"/>
          <w:szCs w:val="22"/>
        </w:rPr>
        <w:t> </w:t>
      </w:r>
      <w:r w:rsidR="00E346E1" w:rsidRPr="00F52AAF">
        <w:rPr>
          <w:strike/>
        </w:rPr>
        <w:t>848</w:t>
      </w:r>
      <w:r w:rsidRPr="00F52AAF">
        <w:rPr>
          <w:b/>
          <w:bCs/>
        </w:rPr>
        <w:t xml:space="preserve"> </w:t>
      </w:r>
      <w:r w:rsidR="00F52AAF" w:rsidRPr="00F52AAF">
        <w:rPr>
          <w:b/>
          <w:bCs/>
        </w:rPr>
        <w:t>57 760</w:t>
      </w:r>
      <w:r w:rsidR="00F52AAF" w:rsidRPr="00F52AAF">
        <w:rPr>
          <w:b/>
          <w:bCs/>
          <w:sz w:val="22"/>
          <w:szCs w:val="22"/>
        </w:rPr>
        <w:t> </w:t>
      </w:r>
      <w:r w:rsidR="00F52AAF" w:rsidRPr="00F52AAF">
        <w:rPr>
          <w:b/>
          <w:bCs/>
        </w:rPr>
        <w:t>377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F52AAF" w:rsidRPr="00F52AAF">
        <w:t xml:space="preserve"> </w:t>
      </w:r>
      <w:r w:rsidRPr="00F52AAF">
        <w:rPr>
          <w:strike/>
        </w:rPr>
        <w:t>1 248 740</w:t>
      </w:r>
      <w:r w:rsidRPr="00F52AAF">
        <w:t xml:space="preserve"> </w:t>
      </w:r>
      <w:r w:rsidR="00F52AAF" w:rsidRPr="00F52AAF">
        <w:rPr>
          <w:b/>
          <w:bCs/>
        </w:rPr>
        <w:t>1 253</w:t>
      </w:r>
      <w:r w:rsidR="00F52AAF" w:rsidRPr="00F52AAF">
        <w:rPr>
          <w:b/>
          <w:bCs/>
          <w:sz w:val="22"/>
          <w:szCs w:val="22"/>
        </w:rPr>
        <w:t> </w:t>
      </w:r>
      <w:r w:rsidR="00F52AAF" w:rsidRPr="00F52AAF">
        <w:rPr>
          <w:b/>
          <w:bCs/>
        </w:rPr>
        <w:t>740</w:t>
      </w:r>
      <w:r w:rsidR="00F52AAF" w:rsidRPr="0000547A">
        <w:t xml:space="preserve"> </w:t>
      </w:r>
      <w:r w:rsidRPr="00F52AAF">
        <w:t>Eur (1 ir 2 priedai).“;</w:t>
      </w:r>
    </w:p>
    <w:p w14:paraId="6C8C5233" w14:textId="4A40C908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1.1.2. papunktį ir jį išdėstyti taip: </w:t>
      </w:r>
    </w:p>
    <w:p w14:paraId="5E3A51A8" w14:textId="6F14FA52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E346E1" w:rsidRPr="00F52AAF">
        <w:rPr>
          <w:strike/>
        </w:rPr>
        <w:t>57 495</w:t>
      </w:r>
      <w:r w:rsidR="00F52AAF" w:rsidRPr="00F52AAF">
        <w:rPr>
          <w:strike/>
          <w:sz w:val="22"/>
          <w:szCs w:val="22"/>
        </w:rPr>
        <w:t> </w:t>
      </w:r>
      <w:r w:rsidR="00E346E1" w:rsidRPr="00F52AAF">
        <w:rPr>
          <w:strike/>
        </w:rPr>
        <w:t>848</w:t>
      </w:r>
      <w:r w:rsidR="00F52AAF" w:rsidRPr="00F52AAF">
        <w:rPr>
          <w:b/>
          <w:bCs/>
        </w:rPr>
        <w:t xml:space="preserve"> 57 760</w:t>
      </w:r>
      <w:r w:rsidR="00F52AAF" w:rsidRPr="00F52AAF">
        <w:rPr>
          <w:b/>
          <w:bCs/>
          <w:sz w:val="22"/>
          <w:szCs w:val="22"/>
        </w:rPr>
        <w:t> </w:t>
      </w:r>
      <w:r w:rsidR="00F52AAF" w:rsidRPr="00F52AAF">
        <w:rPr>
          <w:b/>
          <w:bCs/>
        </w:rPr>
        <w:t>377</w:t>
      </w:r>
      <w:r w:rsidR="00F52AAF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7AED0EE1" w:rsidR="000B2BBE" w:rsidRDefault="000B2BBE" w:rsidP="000B2BBE">
      <w:pPr>
        <w:ind w:firstLine="720"/>
        <w:jc w:val="both"/>
      </w:pPr>
      <w:r w:rsidRPr="00F52AAF">
        <w:t>„1.2.1. asignavimai –</w:t>
      </w:r>
      <w:r w:rsidR="00F52AAF" w:rsidRPr="00F52AAF">
        <w:t xml:space="preserve"> </w:t>
      </w:r>
      <w:r w:rsidR="00E346E1" w:rsidRPr="00F52AAF">
        <w:rPr>
          <w:strike/>
        </w:rPr>
        <w:t>56 537</w:t>
      </w:r>
      <w:r w:rsidR="00F52AAF" w:rsidRPr="00F52AAF">
        <w:rPr>
          <w:strike/>
        </w:rPr>
        <w:t> </w:t>
      </w:r>
      <w:r w:rsidR="00E346E1" w:rsidRPr="00F52AAF">
        <w:rPr>
          <w:strike/>
        </w:rPr>
        <w:t>168</w:t>
      </w:r>
      <w:r w:rsidR="00F52AAF" w:rsidRPr="00F52AAF">
        <w:rPr>
          <w:b/>
          <w:bCs/>
        </w:rPr>
        <w:t xml:space="preserve"> 56 801 697</w:t>
      </w:r>
      <w:r w:rsidR="00E346E1" w:rsidRPr="00F52AAF">
        <w:rPr>
          <w:b/>
          <w:bCs/>
        </w:rPr>
        <w:t xml:space="preserve"> </w:t>
      </w:r>
      <w:r w:rsidRPr="00F52AAF">
        <w:t>Eur“</w:t>
      </w:r>
      <w:r w:rsidR="00911BF7">
        <w:t>;</w:t>
      </w:r>
    </w:p>
    <w:p w14:paraId="497475B6" w14:textId="117E0ACE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4A9D" w14:textId="77777777" w:rsidR="008E303E" w:rsidRDefault="008E303E">
      <w:r>
        <w:separator/>
      </w:r>
    </w:p>
  </w:endnote>
  <w:endnote w:type="continuationSeparator" w:id="0">
    <w:p w14:paraId="08C50A5B" w14:textId="77777777" w:rsidR="008E303E" w:rsidRDefault="008E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1A1E" w14:textId="77777777" w:rsidR="008E303E" w:rsidRDefault="008E303E">
      <w:r>
        <w:separator/>
      </w:r>
    </w:p>
  </w:footnote>
  <w:footnote w:type="continuationSeparator" w:id="0">
    <w:p w14:paraId="0DC53884" w14:textId="77777777" w:rsidR="008E303E" w:rsidRDefault="008E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8"/>
  </w:num>
  <w:num w:numId="2" w16cid:durableId="587006686">
    <w:abstractNumId w:val="4"/>
  </w:num>
  <w:num w:numId="3" w16cid:durableId="1038045552">
    <w:abstractNumId w:val="11"/>
  </w:num>
  <w:num w:numId="4" w16cid:durableId="1680081041">
    <w:abstractNumId w:val="2"/>
  </w:num>
  <w:num w:numId="5" w16cid:durableId="1570842451">
    <w:abstractNumId w:val="13"/>
  </w:num>
  <w:num w:numId="6" w16cid:durableId="24912660">
    <w:abstractNumId w:val="12"/>
  </w:num>
  <w:num w:numId="7" w16cid:durableId="638849743">
    <w:abstractNumId w:val="1"/>
  </w:num>
  <w:num w:numId="8" w16cid:durableId="1849635883">
    <w:abstractNumId w:val="9"/>
  </w:num>
  <w:num w:numId="9" w16cid:durableId="702021687">
    <w:abstractNumId w:val="7"/>
  </w:num>
  <w:num w:numId="10" w16cid:durableId="1383359812">
    <w:abstractNumId w:val="3"/>
  </w:num>
  <w:num w:numId="11" w16cid:durableId="13191485">
    <w:abstractNumId w:val="0"/>
  </w:num>
  <w:num w:numId="12" w16cid:durableId="1880434502">
    <w:abstractNumId w:val="6"/>
  </w:num>
  <w:num w:numId="13" w16cid:durableId="502471923">
    <w:abstractNumId w:val="5"/>
  </w:num>
  <w:num w:numId="14" w16cid:durableId="836653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A70"/>
    <w:rsid w:val="0003441C"/>
    <w:rsid w:val="0004565E"/>
    <w:rsid w:val="000477D6"/>
    <w:rsid w:val="00052C14"/>
    <w:rsid w:val="0006798D"/>
    <w:rsid w:val="00073ECC"/>
    <w:rsid w:val="00076A1D"/>
    <w:rsid w:val="000773EB"/>
    <w:rsid w:val="00085739"/>
    <w:rsid w:val="00090D85"/>
    <w:rsid w:val="000B2BBE"/>
    <w:rsid w:val="000E1F44"/>
    <w:rsid w:val="000E202C"/>
    <w:rsid w:val="000F5C61"/>
    <w:rsid w:val="0010176C"/>
    <w:rsid w:val="00107C26"/>
    <w:rsid w:val="00116D24"/>
    <w:rsid w:val="00117349"/>
    <w:rsid w:val="00124B53"/>
    <w:rsid w:val="0013367C"/>
    <w:rsid w:val="001350F3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A7087"/>
    <w:rsid w:val="001D4EA6"/>
    <w:rsid w:val="001E6369"/>
    <w:rsid w:val="00203CFC"/>
    <w:rsid w:val="00207BCB"/>
    <w:rsid w:val="00226341"/>
    <w:rsid w:val="00230867"/>
    <w:rsid w:val="002325F6"/>
    <w:rsid w:val="00234B9B"/>
    <w:rsid w:val="00246055"/>
    <w:rsid w:val="00251454"/>
    <w:rsid w:val="00281984"/>
    <w:rsid w:val="00282C44"/>
    <w:rsid w:val="00286190"/>
    <w:rsid w:val="0029416C"/>
    <w:rsid w:val="00294C25"/>
    <w:rsid w:val="002C565F"/>
    <w:rsid w:val="002D2ECE"/>
    <w:rsid w:val="002E1F99"/>
    <w:rsid w:val="002F084E"/>
    <w:rsid w:val="002F4A2B"/>
    <w:rsid w:val="002F7E49"/>
    <w:rsid w:val="00323FE1"/>
    <w:rsid w:val="00331502"/>
    <w:rsid w:val="00333FD4"/>
    <w:rsid w:val="003421EA"/>
    <w:rsid w:val="003459E5"/>
    <w:rsid w:val="0035181D"/>
    <w:rsid w:val="00354E38"/>
    <w:rsid w:val="003700B8"/>
    <w:rsid w:val="003701A4"/>
    <w:rsid w:val="00372033"/>
    <w:rsid w:val="00376143"/>
    <w:rsid w:val="003822CB"/>
    <w:rsid w:val="00384E85"/>
    <w:rsid w:val="00385185"/>
    <w:rsid w:val="003859D7"/>
    <w:rsid w:val="00394FD0"/>
    <w:rsid w:val="003A7F59"/>
    <w:rsid w:val="003B2523"/>
    <w:rsid w:val="003D484F"/>
    <w:rsid w:val="003D60DF"/>
    <w:rsid w:val="003E54A7"/>
    <w:rsid w:val="003F1305"/>
    <w:rsid w:val="004003BA"/>
    <w:rsid w:val="00401571"/>
    <w:rsid w:val="004142A2"/>
    <w:rsid w:val="0041495F"/>
    <w:rsid w:val="004231B7"/>
    <w:rsid w:val="00433D3F"/>
    <w:rsid w:val="00434B34"/>
    <w:rsid w:val="00435B30"/>
    <w:rsid w:val="00445CDE"/>
    <w:rsid w:val="00445CE3"/>
    <w:rsid w:val="004520B0"/>
    <w:rsid w:val="00454723"/>
    <w:rsid w:val="00460718"/>
    <w:rsid w:val="00477069"/>
    <w:rsid w:val="004806EE"/>
    <w:rsid w:val="00496BE4"/>
    <w:rsid w:val="00496C97"/>
    <w:rsid w:val="004B0CB9"/>
    <w:rsid w:val="004B1E88"/>
    <w:rsid w:val="004B2369"/>
    <w:rsid w:val="004B3700"/>
    <w:rsid w:val="004B7BDB"/>
    <w:rsid w:val="00501C69"/>
    <w:rsid w:val="00507565"/>
    <w:rsid w:val="005203BE"/>
    <w:rsid w:val="005209D1"/>
    <w:rsid w:val="00520A16"/>
    <w:rsid w:val="005231DA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698D"/>
    <w:rsid w:val="005856CC"/>
    <w:rsid w:val="00593FFF"/>
    <w:rsid w:val="005B1BF6"/>
    <w:rsid w:val="005B2122"/>
    <w:rsid w:val="005B2E3A"/>
    <w:rsid w:val="005C31CD"/>
    <w:rsid w:val="005D06E3"/>
    <w:rsid w:val="005D1F24"/>
    <w:rsid w:val="005D5D46"/>
    <w:rsid w:val="005F1F2E"/>
    <w:rsid w:val="006037FC"/>
    <w:rsid w:val="006046BD"/>
    <w:rsid w:val="00614B7A"/>
    <w:rsid w:val="00641E12"/>
    <w:rsid w:val="00671F4B"/>
    <w:rsid w:val="00673C21"/>
    <w:rsid w:val="006758F3"/>
    <w:rsid w:val="006816E5"/>
    <w:rsid w:val="00682573"/>
    <w:rsid w:val="00686E66"/>
    <w:rsid w:val="00697D48"/>
    <w:rsid w:val="006A1446"/>
    <w:rsid w:val="006A29E6"/>
    <w:rsid w:val="006B72D3"/>
    <w:rsid w:val="006D149F"/>
    <w:rsid w:val="006E27A1"/>
    <w:rsid w:val="006F35F0"/>
    <w:rsid w:val="007009FC"/>
    <w:rsid w:val="00702D18"/>
    <w:rsid w:val="0073170A"/>
    <w:rsid w:val="00732616"/>
    <w:rsid w:val="00734333"/>
    <w:rsid w:val="00744E20"/>
    <w:rsid w:val="007457FF"/>
    <w:rsid w:val="00763DC1"/>
    <w:rsid w:val="00771DAD"/>
    <w:rsid w:val="007860A8"/>
    <w:rsid w:val="007B1256"/>
    <w:rsid w:val="007B6EE5"/>
    <w:rsid w:val="007D21C3"/>
    <w:rsid w:val="007D312A"/>
    <w:rsid w:val="007E13A9"/>
    <w:rsid w:val="007E57D4"/>
    <w:rsid w:val="00800198"/>
    <w:rsid w:val="008030DA"/>
    <w:rsid w:val="0080683C"/>
    <w:rsid w:val="008254C3"/>
    <w:rsid w:val="00832B07"/>
    <w:rsid w:val="00841AFE"/>
    <w:rsid w:val="00845516"/>
    <w:rsid w:val="008554EA"/>
    <w:rsid w:val="00856BAC"/>
    <w:rsid w:val="00857A58"/>
    <w:rsid w:val="008675A2"/>
    <w:rsid w:val="008758B4"/>
    <w:rsid w:val="00876427"/>
    <w:rsid w:val="008770DC"/>
    <w:rsid w:val="00886BBC"/>
    <w:rsid w:val="00886E2F"/>
    <w:rsid w:val="00892223"/>
    <w:rsid w:val="00892810"/>
    <w:rsid w:val="008962CF"/>
    <w:rsid w:val="00896E6B"/>
    <w:rsid w:val="008A4BEF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266A"/>
    <w:rsid w:val="00967BDD"/>
    <w:rsid w:val="009771F0"/>
    <w:rsid w:val="0098095A"/>
    <w:rsid w:val="00983B36"/>
    <w:rsid w:val="0098454C"/>
    <w:rsid w:val="009906C1"/>
    <w:rsid w:val="00992B19"/>
    <w:rsid w:val="009A2619"/>
    <w:rsid w:val="009A6A03"/>
    <w:rsid w:val="009A6D33"/>
    <w:rsid w:val="009B4FFC"/>
    <w:rsid w:val="009B5344"/>
    <w:rsid w:val="009C247C"/>
    <w:rsid w:val="009C68F2"/>
    <w:rsid w:val="009C77BC"/>
    <w:rsid w:val="009E2ED5"/>
    <w:rsid w:val="009E630B"/>
    <w:rsid w:val="009F3805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2F42"/>
    <w:rsid w:val="00A61F57"/>
    <w:rsid w:val="00A85052"/>
    <w:rsid w:val="00A93FA4"/>
    <w:rsid w:val="00AA3BDF"/>
    <w:rsid w:val="00AA7B04"/>
    <w:rsid w:val="00AB10C2"/>
    <w:rsid w:val="00AC14D9"/>
    <w:rsid w:val="00AC6284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7981"/>
    <w:rsid w:val="00B20D88"/>
    <w:rsid w:val="00B3497C"/>
    <w:rsid w:val="00B34998"/>
    <w:rsid w:val="00B418C7"/>
    <w:rsid w:val="00B42A07"/>
    <w:rsid w:val="00B54A3C"/>
    <w:rsid w:val="00B57A83"/>
    <w:rsid w:val="00B61E33"/>
    <w:rsid w:val="00B65DA8"/>
    <w:rsid w:val="00B668F0"/>
    <w:rsid w:val="00B728BD"/>
    <w:rsid w:val="00B764B8"/>
    <w:rsid w:val="00B76B32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630A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82C9A"/>
    <w:rsid w:val="00D85E12"/>
    <w:rsid w:val="00D95DCE"/>
    <w:rsid w:val="00DA0452"/>
    <w:rsid w:val="00DB472D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63B6"/>
    <w:rsid w:val="00E67568"/>
    <w:rsid w:val="00E72134"/>
    <w:rsid w:val="00E72754"/>
    <w:rsid w:val="00EA6026"/>
    <w:rsid w:val="00EB0713"/>
    <w:rsid w:val="00EB3D1D"/>
    <w:rsid w:val="00EB4A11"/>
    <w:rsid w:val="00EB56A0"/>
    <w:rsid w:val="00EC2202"/>
    <w:rsid w:val="00ED18C9"/>
    <w:rsid w:val="00ED4D8B"/>
    <w:rsid w:val="00EF60D4"/>
    <w:rsid w:val="00F01E4C"/>
    <w:rsid w:val="00F20019"/>
    <w:rsid w:val="00F27C80"/>
    <w:rsid w:val="00F320CA"/>
    <w:rsid w:val="00F40651"/>
    <w:rsid w:val="00F4093E"/>
    <w:rsid w:val="00F41A98"/>
    <w:rsid w:val="00F4316F"/>
    <w:rsid w:val="00F52AAF"/>
    <w:rsid w:val="00F63727"/>
    <w:rsid w:val="00F6384B"/>
    <w:rsid w:val="00F67640"/>
    <w:rsid w:val="00F7391F"/>
    <w:rsid w:val="00F75C89"/>
    <w:rsid w:val="00F7723D"/>
    <w:rsid w:val="00F944C4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4473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2025-05-15T06:01:00Z</cp:lastPrinted>
  <dcterms:created xsi:type="dcterms:W3CDTF">2025-06-12T05:38:00Z</dcterms:created>
  <dcterms:modified xsi:type="dcterms:W3CDTF">2025-06-12T05:38:00Z</dcterms:modified>
</cp:coreProperties>
</file>