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7013" w14:textId="77777777" w:rsidR="00FC1CD3" w:rsidRPr="00893250" w:rsidRDefault="00F320CA" w:rsidP="00F320CA">
      <w:pPr>
        <w:jc w:val="right"/>
        <w:rPr>
          <w:lang w:val="en-US"/>
        </w:rPr>
      </w:pPr>
      <w:r w:rsidRPr="00893250">
        <w:t>Projektas</w:t>
      </w:r>
    </w:p>
    <w:p w14:paraId="34F64C6A" w14:textId="77777777" w:rsidR="00F320CA" w:rsidRPr="00893250" w:rsidRDefault="00F320CA">
      <w:pPr>
        <w:jc w:val="center"/>
        <w:rPr>
          <w:b/>
          <w:bCs/>
          <w:lang w:val="en-US"/>
        </w:rPr>
      </w:pPr>
    </w:p>
    <w:p w14:paraId="67DE4B3B" w14:textId="77777777" w:rsidR="00FC1CD3" w:rsidRPr="00893250" w:rsidRDefault="00F20019">
      <w:pPr>
        <w:jc w:val="center"/>
        <w:rPr>
          <w:b/>
        </w:rPr>
      </w:pPr>
      <w:r w:rsidRPr="00893250">
        <w:rPr>
          <w:b/>
          <w:lang w:val="en-US"/>
        </w:rPr>
        <w:t xml:space="preserve">JURBARKO RAJONO </w:t>
      </w:r>
      <w:r w:rsidRPr="00893250">
        <w:rPr>
          <w:b/>
        </w:rPr>
        <w:t>SAVIVALDYBĖS TARYBA</w:t>
      </w:r>
    </w:p>
    <w:p w14:paraId="55F916A3" w14:textId="77777777" w:rsidR="00FC1CD3" w:rsidRPr="00893250"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3250" w:rsidRPr="00893250" w14:paraId="4EBAA9DB" w14:textId="77777777">
        <w:trPr>
          <w:cantSplit/>
        </w:trPr>
        <w:tc>
          <w:tcPr>
            <w:tcW w:w="9654" w:type="dxa"/>
            <w:tcBorders>
              <w:top w:val="nil"/>
              <w:left w:val="nil"/>
              <w:bottom w:val="nil"/>
              <w:right w:val="nil"/>
            </w:tcBorders>
          </w:tcPr>
          <w:p w14:paraId="4FE63CE3" w14:textId="77777777" w:rsidR="00FC1CD3" w:rsidRPr="00893250" w:rsidRDefault="00F20019">
            <w:pPr>
              <w:pStyle w:val="Antrat1"/>
              <w:rPr>
                <w:caps/>
                <w:szCs w:val="24"/>
                <w:lang w:val="lt-LT"/>
              </w:rPr>
            </w:pPr>
            <w:r w:rsidRPr="00893250">
              <w:rPr>
                <w:szCs w:val="24"/>
                <w:lang w:val="lt-LT"/>
              </w:rPr>
              <w:t>SPRENDIMAS</w:t>
            </w:r>
          </w:p>
        </w:tc>
      </w:tr>
      <w:tr w:rsidR="00893250" w:rsidRPr="00893250" w14:paraId="76AB5EC5" w14:textId="77777777">
        <w:trPr>
          <w:cantSplit/>
        </w:trPr>
        <w:tc>
          <w:tcPr>
            <w:tcW w:w="9654" w:type="dxa"/>
            <w:tcBorders>
              <w:top w:val="nil"/>
              <w:left w:val="nil"/>
              <w:bottom w:val="nil"/>
              <w:right w:val="nil"/>
            </w:tcBorders>
          </w:tcPr>
          <w:p w14:paraId="6A1304C8" w14:textId="09C01ADB" w:rsidR="00FC1CD3" w:rsidRPr="00893250" w:rsidRDefault="00BF2AB3" w:rsidP="00BF2AB3">
            <w:pPr>
              <w:pStyle w:val="Antrats"/>
              <w:tabs>
                <w:tab w:val="left" w:pos="1296"/>
              </w:tabs>
              <w:jc w:val="center"/>
              <w:rPr>
                <w:b/>
              </w:rPr>
            </w:pPr>
            <w:r w:rsidRPr="00893250">
              <w:rPr>
                <w:b/>
              </w:rPr>
              <w:t xml:space="preserve">DĖL 2024 METŲ JURBARKO </w:t>
            </w:r>
            <w:r w:rsidR="00A076F2" w:rsidRPr="00893250">
              <w:rPr>
                <w:b/>
              </w:rPr>
              <w:t>VYTAUTO DIDŽIOJO PAGRINDINĖS MOKYKLOS</w:t>
            </w:r>
            <w:r w:rsidRPr="00893250">
              <w:rPr>
                <w:b/>
              </w:rPr>
              <w:t xml:space="preserve"> METINIŲ ATASKAITŲ RINKINIO PATVIRTINIMO</w:t>
            </w:r>
            <w:r w:rsidR="009913D4" w:rsidRPr="00893250">
              <w:rPr>
                <w:b/>
              </w:rPr>
              <w:fldChar w:fldCharType="begin">
                <w:ffData>
                  <w:name w:val="DOC_DATA"/>
                  <w:enabled/>
                  <w:calcOnExit w:val="0"/>
                  <w:textInput>
                    <w:default w:val="{$DOC_DATA}"/>
                  </w:textInput>
                </w:ffData>
              </w:fldChar>
            </w:r>
            <w:r w:rsidR="00F20019" w:rsidRPr="00893250">
              <w:rPr>
                <w:b/>
              </w:rPr>
              <w:instrText xml:space="preserve"> FORMTEXT </w:instrText>
            </w:r>
            <w:r w:rsidR="009913D4" w:rsidRPr="00893250">
              <w:rPr>
                <w:b/>
              </w:rPr>
            </w:r>
            <w:r w:rsidR="009913D4" w:rsidRPr="00893250">
              <w:rPr>
                <w:b/>
              </w:rPr>
              <w:fldChar w:fldCharType="separate"/>
            </w:r>
            <w:r w:rsidR="009913D4" w:rsidRPr="00893250">
              <w:rPr>
                <w:b/>
              </w:rPr>
              <w:fldChar w:fldCharType="end"/>
            </w:r>
          </w:p>
        </w:tc>
      </w:tr>
      <w:tr w:rsidR="00893250" w:rsidRPr="00893250" w14:paraId="1A39AE51" w14:textId="77777777">
        <w:trPr>
          <w:cantSplit/>
        </w:trPr>
        <w:tc>
          <w:tcPr>
            <w:tcW w:w="9654" w:type="dxa"/>
            <w:tcBorders>
              <w:top w:val="nil"/>
              <w:left w:val="nil"/>
              <w:bottom w:val="nil"/>
              <w:right w:val="nil"/>
            </w:tcBorders>
          </w:tcPr>
          <w:p w14:paraId="275F9DE9" w14:textId="77777777" w:rsidR="00FC1CD3" w:rsidRPr="00893250" w:rsidRDefault="00FC1CD3">
            <w:pPr>
              <w:pStyle w:val="Antrats"/>
              <w:tabs>
                <w:tab w:val="left" w:pos="1296"/>
              </w:tabs>
              <w:jc w:val="center"/>
              <w:rPr>
                <w:b/>
                <w:caps/>
              </w:rPr>
            </w:pPr>
          </w:p>
        </w:tc>
      </w:tr>
      <w:tr w:rsidR="00893250" w:rsidRPr="00893250" w14:paraId="23035CB8" w14:textId="77777777" w:rsidTr="00BA627E">
        <w:trPr>
          <w:cantSplit/>
          <w:trHeight w:val="359"/>
        </w:trPr>
        <w:tc>
          <w:tcPr>
            <w:tcW w:w="9654" w:type="dxa"/>
            <w:tcBorders>
              <w:top w:val="nil"/>
              <w:left w:val="nil"/>
              <w:bottom w:val="nil"/>
              <w:right w:val="nil"/>
            </w:tcBorders>
          </w:tcPr>
          <w:p w14:paraId="31E11585" w14:textId="1463757F" w:rsidR="00FC1CD3" w:rsidRPr="00893250" w:rsidRDefault="00BF2AB3" w:rsidP="004B0CB9">
            <w:pPr>
              <w:pStyle w:val="Antrats"/>
              <w:tabs>
                <w:tab w:val="left" w:pos="1296"/>
              </w:tabs>
              <w:jc w:val="center"/>
              <w:rPr>
                <w:b/>
                <w:caps/>
              </w:rPr>
            </w:pPr>
            <w:r w:rsidRPr="00893250">
              <w:t xml:space="preserve">2025 m. gegužės </w:t>
            </w:r>
            <w:r w:rsidR="00243D5F">
              <w:t>8</w:t>
            </w:r>
            <w:r w:rsidRPr="00893250">
              <w:t xml:space="preserve"> d.</w:t>
            </w:r>
            <w:r w:rsidR="00D7382F" w:rsidRPr="00893250">
              <w:t xml:space="preserve">  Nr. </w:t>
            </w:r>
            <w:r w:rsidRPr="00893250">
              <w:t>TSP-</w:t>
            </w:r>
            <w:r w:rsidR="00243D5F">
              <w:t>189</w:t>
            </w:r>
          </w:p>
        </w:tc>
      </w:tr>
      <w:tr w:rsidR="00FC1CD3" w:rsidRPr="00893250" w14:paraId="1353FB6F" w14:textId="77777777">
        <w:trPr>
          <w:cantSplit/>
        </w:trPr>
        <w:tc>
          <w:tcPr>
            <w:tcW w:w="9654" w:type="dxa"/>
            <w:tcBorders>
              <w:top w:val="nil"/>
              <w:left w:val="nil"/>
              <w:bottom w:val="nil"/>
              <w:right w:val="nil"/>
            </w:tcBorders>
          </w:tcPr>
          <w:p w14:paraId="5308CAAC" w14:textId="77777777" w:rsidR="00FC1CD3" w:rsidRPr="00893250" w:rsidRDefault="00F20019">
            <w:pPr>
              <w:jc w:val="center"/>
            </w:pPr>
            <w:r w:rsidRPr="00893250">
              <w:t>Jurbarkas</w:t>
            </w:r>
          </w:p>
        </w:tc>
      </w:tr>
    </w:tbl>
    <w:p w14:paraId="17E187BA" w14:textId="77777777" w:rsidR="00FC1CD3" w:rsidRPr="00893250" w:rsidRDefault="00FC1CD3">
      <w:pPr>
        <w:jc w:val="both"/>
      </w:pPr>
    </w:p>
    <w:p w14:paraId="779E4C90" w14:textId="027587E8" w:rsidR="00C64AC0" w:rsidRPr="00893250" w:rsidRDefault="008568E7" w:rsidP="00151CD6">
      <w:pPr>
        <w:jc w:val="both"/>
        <w:rPr>
          <w:szCs w:val="24"/>
        </w:rPr>
      </w:pPr>
      <w:bookmarkStart w:id="0" w:name="_Hlk163632176"/>
      <w:r w:rsidRPr="00893250">
        <w:rPr>
          <w:szCs w:val="24"/>
        </w:rPr>
        <w:tab/>
      </w:r>
      <w:r w:rsidR="00BA1E5B" w:rsidRPr="000A2666">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w:t>
      </w:r>
      <w:r w:rsidR="00632D6F">
        <w:rPr>
          <w:szCs w:val="24"/>
        </w:rPr>
        <w:t> </w:t>
      </w:r>
      <w:r w:rsidR="00BA1E5B" w:rsidRPr="000A2666">
        <w:rPr>
          <w:szCs w:val="24"/>
        </w:rPr>
        <w:t xml:space="preserve">Respublikos Vyriausybės 2019 m. vasario 13 d. nutarimu Nr. 135 (Lietuvos Respublikos Vyriausybės 2023 m. sausio 11 d. nutarimo Nr. 25 redakcija) „Dėl Viešojo sektoriaus subjekto metinės veiklos ataskaitos, viešojo sektoriaus subjektų grupės metinės veiklos ataskaitos ir valstybės pažangos ataskaitos rengimo tvarkos aprašo patvirtinimo“, 4 punktu </w:t>
      </w:r>
      <w:r w:rsidR="00C64AC0" w:rsidRPr="000A2666">
        <w:rPr>
          <w:szCs w:val="24"/>
        </w:rPr>
        <w:t xml:space="preserve">ir atsižvelgdama į Jurbarko </w:t>
      </w:r>
      <w:r w:rsidR="00A076F2" w:rsidRPr="000A2666">
        <w:rPr>
          <w:szCs w:val="24"/>
        </w:rPr>
        <w:t>Vytauto Didžiojo pagrindinės mokyklos</w:t>
      </w:r>
      <w:r w:rsidR="00B36446" w:rsidRPr="000A2666">
        <w:rPr>
          <w:szCs w:val="24"/>
        </w:rPr>
        <w:t xml:space="preserve"> </w:t>
      </w:r>
      <w:r w:rsidR="00C64AC0" w:rsidRPr="000A2666">
        <w:rPr>
          <w:szCs w:val="24"/>
        </w:rPr>
        <w:t>202</w:t>
      </w:r>
      <w:r w:rsidR="00BF2AB3" w:rsidRPr="000A2666">
        <w:rPr>
          <w:szCs w:val="24"/>
        </w:rPr>
        <w:t>5</w:t>
      </w:r>
      <w:r w:rsidR="00C64AC0" w:rsidRPr="000A2666">
        <w:rPr>
          <w:szCs w:val="24"/>
        </w:rPr>
        <w:t xml:space="preserve"> m. </w:t>
      </w:r>
      <w:r w:rsidR="00D7382F" w:rsidRPr="000A2666">
        <w:rPr>
          <w:szCs w:val="24"/>
        </w:rPr>
        <w:t xml:space="preserve">gegužės </w:t>
      </w:r>
      <w:r w:rsidR="000A2666" w:rsidRPr="000A2666">
        <w:rPr>
          <w:szCs w:val="24"/>
        </w:rPr>
        <w:t>6</w:t>
      </w:r>
      <w:r w:rsidR="00D7382F" w:rsidRPr="000A2666">
        <w:rPr>
          <w:szCs w:val="24"/>
        </w:rPr>
        <w:t xml:space="preserve"> </w:t>
      </w:r>
      <w:r w:rsidR="00C64AC0" w:rsidRPr="000A2666">
        <w:rPr>
          <w:szCs w:val="24"/>
        </w:rPr>
        <w:t>d. raštą Nr.</w:t>
      </w:r>
      <w:r w:rsidR="00931DA8" w:rsidRPr="000A2666">
        <w:rPr>
          <w:szCs w:val="24"/>
        </w:rPr>
        <w:t xml:space="preserve"> </w:t>
      </w:r>
      <w:r w:rsidR="000A2666" w:rsidRPr="000A2666">
        <w:rPr>
          <w:szCs w:val="24"/>
        </w:rPr>
        <w:t>S</w:t>
      </w:r>
      <w:r w:rsidR="001913A1" w:rsidRPr="000A2666">
        <w:rPr>
          <w:szCs w:val="24"/>
        </w:rPr>
        <w:t>-</w:t>
      </w:r>
      <w:r w:rsidR="000A2666" w:rsidRPr="000A2666">
        <w:rPr>
          <w:szCs w:val="24"/>
        </w:rPr>
        <w:t>116</w:t>
      </w:r>
      <w:r w:rsidR="001913A1" w:rsidRPr="000A2666">
        <w:rPr>
          <w:szCs w:val="24"/>
        </w:rPr>
        <w:t xml:space="preserve"> </w:t>
      </w:r>
      <w:r w:rsidR="00931DA8" w:rsidRPr="000A2666">
        <w:t>„Dėl 202</w:t>
      </w:r>
      <w:r w:rsidR="00BF2AB3" w:rsidRPr="000A2666">
        <w:t>4</w:t>
      </w:r>
      <w:r w:rsidR="00931DA8" w:rsidRPr="000A2666">
        <w:t xml:space="preserve"> metų </w:t>
      </w:r>
      <w:r w:rsidR="000A2666" w:rsidRPr="000A2666">
        <w:rPr>
          <w:szCs w:val="24"/>
        </w:rPr>
        <w:t xml:space="preserve">Jurbarko Vytauto Didžiojo pagrindinės mokyklos </w:t>
      </w:r>
      <w:r w:rsidR="00931DA8" w:rsidRPr="000A2666">
        <w:t>metinių</w:t>
      </w:r>
      <w:r w:rsidR="001913A1" w:rsidRPr="000A2666">
        <w:t xml:space="preserve"> ataskaitų rinkinio pateikimo</w:t>
      </w:r>
      <w:r w:rsidR="00931DA8" w:rsidRPr="000A2666">
        <w:t>“,</w:t>
      </w:r>
      <w:r w:rsidR="00151CD6" w:rsidRPr="000A2666">
        <w:t xml:space="preserve"> </w:t>
      </w:r>
      <w:r w:rsidR="00C64AC0" w:rsidRPr="000A2666">
        <w:rPr>
          <w:szCs w:val="24"/>
        </w:rPr>
        <w:t xml:space="preserve">Jurbarko </w:t>
      </w:r>
      <w:r w:rsidR="00632D6F">
        <w:rPr>
          <w:szCs w:val="24"/>
        </w:rPr>
        <w:t> </w:t>
      </w:r>
      <w:r w:rsidR="00C64AC0" w:rsidRPr="000A2666">
        <w:rPr>
          <w:szCs w:val="24"/>
        </w:rPr>
        <w:t>rajono savivaldybės taryba</w:t>
      </w:r>
      <w:r w:rsidR="00C64AC0" w:rsidRPr="000A2666">
        <w:rPr>
          <w:spacing w:val="80"/>
          <w:szCs w:val="24"/>
        </w:rPr>
        <w:t xml:space="preserve"> nusprendži</w:t>
      </w:r>
      <w:r w:rsidR="00C64AC0" w:rsidRPr="000A2666">
        <w:rPr>
          <w:szCs w:val="24"/>
        </w:rPr>
        <w:t>a:</w:t>
      </w:r>
    </w:p>
    <w:p w14:paraId="0EEC3384" w14:textId="2E5707A2" w:rsidR="002930A8" w:rsidRPr="00893250" w:rsidRDefault="002930A8" w:rsidP="002930A8">
      <w:pPr>
        <w:tabs>
          <w:tab w:val="left" w:pos="709"/>
        </w:tabs>
        <w:suppressAutoHyphens/>
        <w:ind w:firstLine="709"/>
        <w:jc w:val="both"/>
        <w:rPr>
          <w:szCs w:val="24"/>
        </w:rPr>
      </w:pPr>
      <w:r w:rsidRPr="00893250">
        <w:rPr>
          <w:szCs w:val="24"/>
        </w:rPr>
        <w:t>Patvirtinti</w:t>
      </w:r>
      <w:r w:rsidR="008D6AD8" w:rsidRPr="00893250">
        <w:rPr>
          <w:szCs w:val="24"/>
        </w:rPr>
        <w:t xml:space="preserve"> Jurbarko </w:t>
      </w:r>
      <w:r w:rsidR="00A076F2" w:rsidRPr="00893250">
        <w:rPr>
          <w:szCs w:val="24"/>
        </w:rPr>
        <w:t>Vytauto Didžiojo pagrindinės mokyklos</w:t>
      </w:r>
      <w:r w:rsidR="00B36446" w:rsidRPr="00893250">
        <w:rPr>
          <w:szCs w:val="24"/>
        </w:rPr>
        <w:t xml:space="preserve"> </w:t>
      </w:r>
      <w:r w:rsidR="008D6AD8" w:rsidRPr="00893250">
        <w:rPr>
          <w:szCs w:val="24"/>
        </w:rPr>
        <w:t>202</w:t>
      </w:r>
      <w:r w:rsidR="00BF2AB3" w:rsidRPr="00893250">
        <w:rPr>
          <w:szCs w:val="24"/>
        </w:rPr>
        <w:t>4</w:t>
      </w:r>
      <w:r w:rsidR="008D6AD8" w:rsidRPr="00893250">
        <w:rPr>
          <w:szCs w:val="24"/>
        </w:rPr>
        <w:t xml:space="preserve"> metų metinių ataskaitų rinkinį</w:t>
      </w:r>
      <w:r w:rsidRPr="00893250">
        <w:rPr>
          <w:szCs w:val="24"/>
        </w:rPr>
        <w:t>:</w:t>
      </w:r>
    </w:p>
    <w:p w14:paraId="16810488" w14:textId="0546059E" w:rsidR="002930A8" w:rsidRPr="00893250" w:rsidRDefault="002930A8" w:rsidP="002930A8">
      <w:pPr>
        <w:numPr>
          <w:ilvl w:val="0"/>
          <w:numId w:val="8"/>
        </w:numPr>
        <w:tabs>
          <w:tab w:val="left" w:pos="709"/>
          <w:tab w:val="left" w:pos="993"/>
        </w:tabs>
        <w:suppressAutoHyphens/>
        <w:ind w:left="0" w:firstLine="709"/>
        <w:jc w:val="both"/>
        <w:rPr>
          <w:szCs w:val="24"/>
        </w:rPr>
      </w:pPr>
      <w:r w:rsidRPr="00893250">
        <w:rPr>
          <w:szCs w:val="24"/>
        </w:rPr>
        <w:t xml:space="preserve">Jurbarko </w:t>
      </w:r>
      <w:r w:rsidR="00A076F2" w:rsidRPr="00893250">
        <w:rPr>
          <w:szCs w:val="24"/>
        </w:rPr>
        <w:t xml:space="preserve">Vytauto Didžiojo pagrindinės mokyklos </w:t>
      </w:r>
      <w:r w:rsidRPr="00893250">
        <w:rPr>
          <w:szCs w:val="24"/>
        </w:rPr>
        <w:t>202</w:t>
      </w:r>
      <w:r w:rsidR="00BF2AB3" w:rsidRPr="00893250">
        <w:rPr>
          <w:szCs w:val="24"/>
        </w:rPr>
        <w:t>4</w:t>
      </w:r>
      <w:r w:rsidRPr="00893250">
        <w:rPr>
          <w:szCs w:val="24"/>
        </w:rPr>
        <w:t xml:space="preserve"> metų veiklos ataskaitą (pridedama);</w:t>
      </w:r>
    </w:p>
    <w:p w14:paraId="6E978402" w14:textId="6E1F523E" w:rsidR="002930A8" w:rsidRPr="00893250" w:rsidRDefault="00505914" w:rsidP="002930A8">
      <w:pPr>
        <w:numPr>
          <w:ilvl w:val="0"/>
          <w:numId w:val="8"/>
        </w:numPr>
        <w:tabs>
          <w:tab w:val="left" w:pos="709"/>
          <w:tab w:val="left" w:pos="993"/>
        </w:tabs>
        <w:suppressAutoHyphens/>
        <w:ind w:left="0" w:firstLine="709"/>
        <w:jc w:val="both"/>
      </w:pPr>
      <w:r w:rsidRPr="00893250">
        <w:rPr>
          <w:szCs w:val="24"/>
        </w:rPr>
        <w:t xml:space="preserve">Jurbarko </w:t>
      </w:r>
      <w:r w:rsidR="00A076F2" w:rsidRPr="00893250">
        <w:rPr>
          <w:szCs w:val="24"/>
        </w:rPr>
        <w:t xml:space="preserve">Vytauto Didžiojo pagrindinės mokyklos </w:t>
      </w:r>
      <w:r w:rsidR="00FE0B13" w:rsidRPr="00893250">
        <w:rPr>
          <w:szCs w:val="24"/>
        </w:rPr>
        <w:t>202</w:t>
      </w:r>
      <w:r w:rsidR="00BF2AB3" w:rsidRPr="00893250">
        <w:rPr>
          <w:szCs w:val="24"/>
        </w:rPr>
        <w:t>4</w:t>
      </w:r>
      <w:r w:rsidR="00FE0B13" w:rsidRPr="00893250">
        <w:rPr>
          <w:szCs w:val="24"/>
        </w:rPr>
        <w:t xml:space="preserve"> metų </w:t>
      </w:r>
      <w:r w:rsidR="002930A8" w:rsidRPr="00893250">
        <w:rPr>
          <w:szCs w:val="24"/>
        </w:rPr>
        <w:t>finansinių ataskaitų rinkinį (pridedama);</w:t>
      </w:r>
    </w:p>
    <w:p w14:paraId="45B0402E" w14:textId="044DE188" w:rsidR="002930A8" w:rsidRPr="00893250" w:rsidRDefault="002930A8" w:rsidP="002930A8">
      <w:pPr>
        <w:numPr>
          <w:ilvl w:val="0"/>
          <w:numId w:val="8"/>
        </w:numPr>
        <w:tabs>
          <w:tab w:val="left" w:pos="709"/>
          <w:tab w:val="left" w:pos="993"/>
        </w:tabs>
        <w:suppressAutoHyphens/>
        <w:ind w:left="0" w:firstLine="709"/>
        <w:jc w:val="both"/>
      </w:pPr>
      <w:r w:rsidRPr="00893250">
        <w:rPr>
          <w:szCs w:val="24"/>
        </w:rPr>
        <w:t xml:space="preserve">Jurbarko </w:t>
      </w:r>
      <w:r w:rsidR="00A076F2" w:rsidRPr="00893250">
        <w:rPr>
          <w:szCs w:val="24"/>
        </w:rPr>
        <w:t xml:space="preserve">Vytauto Didžiojo pagrindinės mokyklos </w:t>
      </w:r>
      <w:r w:rsidR="00FE0B13" w:rsidRPr="00893250">
        <w:rPr>
          <w:szCs w:val="24"/>
        </w:rPr>
        <w:t>202</w:t>
      </w:r>
      <w:r w:rsidR="00BF2AB3" w:rsidRPr="00893250">
        <w:rPr>
          <w:szCs w:val="24"/>
        </w:rPr>
        <w:t>4</w:t>
      </w:r>
      <w:r w:rsidR="00FE0B13" w:rsidRPr="00893250">
        <w:rPr>
          <w:szCs w:val="24"/>
        </w:rPr>
        <w:t xml:space="preserve"> metų </w:t>
      </w:r>
      <w:r w:rsidRPr="00893250">
        <w:rPr>
          <w:szCs w:val="24"/>
        </w:rPr>
        <w:t>biudžeto vykdymo ataskaitų rinkinį (pridedama).</w:t>
      </w:r>
    </w:p>
    <w:p w14:paraId="159AFD81" w14:textId="77777777" w:rsidR="00FC1CD3" w:rsidRPr="00893250" w:rsidRDefault="00C64AC0" w:rsidP="002930A8">
      <w:pPr>
        <w:ind w:firstLine="720"/>
        <w:jc w:val="both"/>
      </w:pPr>
      <w:r w:rsidRPr="00893250">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75FBFAB4" w14:textId="77777777" w:rsidR="00FC1CD3" w:rsidRPr="00893250" w:rsidRDefault="00FC1CD3">
      <w:pPr>
        <w:jc w:val="both"/>
      </w:pPr>
    </w:p>
    <w:tbl>
      <w:tblPr>
        <w:tblW w:w="0" w:type="auto"/>
        <w:tblInd w:w="108" w:type="dxa"/>
        <w:tblLook w:val="0000" w:firstRow="0" w:lastRow="0" w:firstColumn="0" w:lastColumn="0" w:noHBand="0" w:noVBand="0"/>
      </w:tblPr>
      <w:tblGrid>
        <w:gridCol w:w="4410"/>
        <w:gridCol w:w="4410"/>
      </w:tblGrid>
      <w:tr w:rsidR="00FC1CD3" w:rsidRPr="00893250" w14:paraId="139FF385" w14:textId="77777777">
        <w:trPr>
          <w:trHeight w:val="180"/>
        </w:trPr>
        <w:tc>
          <w:tcPr>
            <w:tcW w:w="4410" w:type="dxa"/>
          </w:tcPr>
          <w:p w14:paraId="5ECDB81C" w14:textId="77777777" w:rsidR="00FC1CD3" w:rsidRPr="00893250" w:rsidRDefault="00F4316F">
            <w:r w:rsidRPr="00893250">
              <w:t>Savivaldybės meras</w:t>
            </w:r>
          </w:p>
        </w:tc>
        <w:tc>
          <w:tcPr>
            <w:tcW w:w="4410" w:type="dxa"/>
          </w:tcPr>
          <w:p w14:paraId="151CF998" w14:textId="77777777" w:rsidR="00FC1CD3" w:rsidRPr="00893250" w:rsidRDefault="00FC1CD3">
            <w:pPr>
              <w:jc w:val="right"/>
            </w:pPr>
          </w:p>
        </w:tc>
      </w:tr>
    </w:tbl>
    <w:p w14:paraId="7A4DEABD" w14:textId="77777777" w:rsidR="006159F1" w:rsidRPr="00893250" w:rsidRDefault="006159F1"/>
    <w:p w14:paraId="1A33420F" w14:textId="1B92F741" w:rsidR="002930A8" w:rsidRPr="00893250" w:rsidRDefault="00893250" w:rsidP="002930A8">
      <w:r w:rsidRPr="00893250">
        <w:t>Derino</w:t>
      </w:r>
      <w:r w:rsidR="002930A8" w:rsidRPr="00893250">
        <w:t xml:space="preserve">: </w:t>
      </w:r>
    </w:p>
    <w:p w14:paraId="3B79F46B" w14:textId="77777777" w:rsidR="002930A8" w:rsidRPr="00893250" w:rsidRDefault="002930A8" w:rsidP="002930A8">
      <w:r w:rsidRPr="00893250">
        <w:t xml:space="preserve">Administracijos direktorė R. </w:t>
      </w:r>
      <w:proofErr w:type="spellStart"/>
      <w:r w:rsidRPr="00893250">
        <w:t>Vančienė</w:t>
      </w:r>
      <w:proofErr w:type="spellEnd"/>
    </w:p>
    <w:p w14:paraId="50A284D6" w14:textId="77777777" w:rsidR="002930A8" w:rsidRPr="00893250" w:rsidRDefault="002930A8" w:rsidP="002930A8">
      <w:r w:rsidRPr="00893250">
        <w:t xml:space="preserve">Teisės ir civilinės metrikacijos skyriaus vedėja O. Sutkaitienė </w:t>
      </w:r>
    </w:p>
    <w:p w14:paraId="05CEE907" w14:textId="77777777" w:rsidR="002930A8" w:rsidRPr="00893250" w:rsidRDefault="002930A8" w:rsidP="002930A8">
      <w:r w:rsidRPr="00893250">
        <w:t>Tarybos posėdžių sekretorė D. Dačkauskaitė</w:t>
      </w:r>
    </w:p>
    <w:p w14:paraId="6DCE5881" w14:textId="77777777" w:rsidR="002930A8" w:rsidRPr="00893250" w:rsidRDefault="002930A8" w:rsidP="002930A8">
      <w:r w:rsidRPr="00893250">
        <w:t>Dokumentų ir viešųjų ryšių skyriaus vyr. specialistas A. Gvildys</w:t>
      </w:r>
    </w:p>
    <w:p w14:paraId="12010FCE" w14:textId="77777777" w:rsidR="002B4AB9" w:rsidRPr="00893250" w:rsidRDefault="002B4AB9" w:rsidP="002930A8">
      <w:r w:rsidRPr="00893250">
        <w:t xml:space="preserve">Finansų skyriaus vedėja A. </w:t>
      </w:r>
      <w:proofErr w:type="spellStart"/>
      <w:r w:rsidRPr="00893250">
        <w:t>Samuilienė</w:t>
      </w:r>
      <w:proofErr w:type="spellEnd"/>
      <w:r w:rsidRPr="00893250">
        <w:t xml:space="preserve"> </w:t>
      </w:r>
    </w:p>
    <w:p w14:paraId="20263817" w14:textId="5640E0E8" w:rsidR="002930A8" w:rsidRPr="00893250" w:rsidRDefault="002930A8" w:rsidP="002930A8">
      <w:r w:rsidRPr="00893250">
        <w:t xml:space="preserve">Švietimo, kultūros ir sporto skyriaus vedėja A. </w:t>
      </w:r>
      <w:proofErr w:type="spellStart"/>
      <w:r w:rsidRPr="00893250">
        <w:t>Baliukynaitė</w:t>
      </w:r>
      <w:proofErr w:type="spellEnd"/>
    </w:p>
    <w:p w14:paraId="75427B22" w14:textId="2D7F8E70" w:rsidR="00D83E1B" w:rsidRPr="00893250" w:rsidRDefault="00D83E1B" w:rsidP="00D83E1B">
      <w:pPr>
        <w:rPr>
          <w:sz w:val="22"/>
        </w:rPr>
      </w:pPr>
    </w:p>
    <w:p w14:paraId="06F3B634" w14:textId="77777777" w:rsidR="00190B66" w:rsidRPr="00893250" w:rsidRDefault="00190B66"/>
    <w:p w14:paraId="3DD0AF7A" w14:textId="77777777" w:rsidR="00BF2AB3" w:rsidRPr="00893250" w:rsidRDefault="00BF2AB3" w:rsidP="00BF2AB3">
      <w:r w:rsidRPr="00893250">
        <w:t>Parengė</w:t>
      </w:r>
    </w:p>
    <w:p w14:paraId="09E8A3EE" w14:textId="77777777" w:rsidR="00BF2AB3" w:rsidRPr="00893250" w:rsidRDefault="00BF2AB3" w:rsidP="00BF2AB3">
      <w:r w:rsidRPr="00893250">
        <w:t>Loreta Knašienė, tel. +370 616 81 556, el. p. loreta.knasiene@jurbarkas.lt</w:t>
      </w:r>
    </w:p>
    <w:p w14:paraId="75138B8F" w14:textId="77777777" w:rsidR="00BF2AB3" w:rsidRPr="00893250" w:rsidRDefault="00BF2AB3" w:rsidP="00BF2AB3">
      <w:pPr>
        <w:sectPr w:rsidR="00BF2AB3" w:rsidRPr="00893250" w:rsidSect="00BF2AB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sidRPr="00893250">
        <w:t>2025-05-</w:t>
      </w:r>
    </w:p>
    <w:p w14:paraId="3CE59550" w14:textId="77777777" w:rsidR="00BF2AB3" w:rsidRPr="00893250" w:rsidRDefault="00BF2AB3" w:rsidP="00BF2AB3"/>
    <w:p w14:paraId="7F8E0B38" w14:textId="77777777" w:rsidR="00F41211" w:rsidRPr="00893250" w:rsidRDefault="00F41211" w:rsidP="00F41211">
      <w:pPr>
        <w:tabs>
          <w:tab w:val="left" w:pos="4820"/>
        </w:tabs>
        <w:ind w:left="5245" w:firstLine="4678"/>
      </w:pPr>
      <w:r w:rsidRPr="00893250">
        <w:t>PATVIRTINTA</w:t>
      </w:r>
    </w:p>
    <w:p w14:paraId="07516F77" w14:textId="77777777" w:rsidR="00F41211" w:rsidRPr="00893250" w:rsidRDefault="00F41211" w:rsidP="00F41211">
      <w:pPr>
        <w:ind w:left="5245" w:firstLine="4678"/>
      </w:pPr>
      <w:r w:rsidRPr="00893250">
        <w:t xml:space="preserve">Jurbarko rajono savivaldybės tarybos </w:t>
      </w:r>
    </w:p>
    <w:p w14:paraId="5A2DCF1E" w14:textId="0E358CEF" w:rsidR="00F41211" w:rsidRPr="00893250" w:rsidRDefault="00BF2AB3" w:rsidP="00F41211">
      <w:pPr>
        <w:ind w:left="5245" w:firstLine="4678"/>
      </w:pPr>
      <w:r w:rsidRPr="00893250">
        <w:t xml:space="preserve">2025 m. gegužės    d. </w:t>
      </w:r>
      <w:r w:rsidR="00F41211" w:rsidRPr="00893250">
        <w:t xml:space="preserve">sprendimu Nr. </w:t>
      </w:r>
      <w:r w:rsidRPr="00893250">
        <w:t>T2-</w:t>
      </w:r>
    </w:p>
    <w:p w14:paraId="7B99E214" w14:textId="77777777" w:rsidR="00B46136" w:rsidRPr="00893250" w:rsidRDefault="00B46136" w:rsidP="00F41211">
      <w:pPr>
        <w:ind w:left="5245" w:firstLine="4678"/>
      </w:pPr>
      <w:bookmarkStart w:id="1" w:name="_Hlk196838836"/>
    </w:p>
    <w:bookmarkEnd w:id="1"/>
    <w:p w14:paraId="70244BB5" w14:textId="77777777" w:rsidR="00893250" w:rsidRPr="00893250" w:rsidRDefault="00893250" w:rsidP="00893250">
      <w:pPr>
        <w:ind w:left="5245" w:firstLine="4678"/>
      </w:pPr>
    </w:p>
    <w:tbl>
      <w:tblPr>
        <w:tblStyle w:val="Lentelstinklelis"/>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893250" w:rsidRPr="00893250" w14:paraId="3703B3CB" w14:textId="77777777" w:rsidTr="0067388B">
        <w:trPr>
          <w:jc w:val="center"/>
        </w:trPr>
        <w:tc>
          <w:tcPr>
            <w:tcW w:w="8505" w:type="dxa"/>
            <w:gridSpan w:val="3"/>
            <w:tcBorders>
              <w:bottom w:val="single" w:sz="4" w:space="0" w:color="auto"/>
            </w:tcBorders>
          </w:tcPr>
          <w:p w14:paraId="3B794974" w14:textId="77777777" w:rsidR="00893250" w:rsidRPr="00893250" w:rsidRDefault="00893250" w:rsidP="0067388B">
            <w:pPr>
              <w:tabs>
                <w:tab w:val="left" w:pos="14656"/>
              </w:tabs>
              <w:overflowPunct w:val="0"/>
              <w:jc w:val="center"/>
              <w:textAlignment w:val="baseline"/>
              <w:rPr>
                <w:b/>
                <w:bCs/>
                <w:szCs w:val="24"/>
              </w:rPr>
            </w:pPr>
            <w:r w:rsidRPr="00893250">
              <w:rPr>
                <w:b/>
                <w:bCs/>
                <w:szCs w:val="24"/>
              </w:rPr>
              <w:t>JURBARKO VYTAUTO DIDŽIOJO PAGRINDINĖ MOKYKLA</w:t>
            </w:r>
          </w:p>
        </w:tc>
      </w:tr>
      <w:tr w:rsidR="00893250" w:rsidRPr="00893250" w14:paraId="5F1C9431" w14:textId="77777777" w:rsidTr="0067388B">
        <w:trPr>
          <w:jc w:val="center"/>
        </w:trPr>
        <w:tc>
          <w:tcPr>
            <w:tcW w:w="8505" w:type="dxa"/>
            <w:gridSpan w:val="3"/>
            <w:tcBorders>
              <w:top w:val="single" w:sz="4" w:space="0" w:color="auto"/>
            </w:tcBorders>
          </w:tcPr>
          <w:p w14:paraId="2415459E" w14:textId="77777777" w:rsidR="00893250" w:rsidRPr="00893250" w:rsidRDefault="00893250" w:rsidP="0067388B">
            <w:pPr>
              <w:tabs>
                <w:tab w:val="left" w:pos="14656"/>
              </w:tabs>
              <w:overflowPunct w:val="0"/>
              <w:jc w:val="center"/>
              <w:textAlignment w:val="baseline"/>
              <w:rPr>
                <w:sz w:val="20"/>
              </w:rPr>
            </w:pPr>
            <w:r w:rsidRPr="00893250">
              <w:rPr>
                <w:sz w:val="20"/>
              </w:rPr>
              <w:t>(įstaigos pavadinimas)</w:t>
            </w:r>
          </w:p>
        </w:tc>
      </w:tr>
      <w:tr w:rsidR="00893250" w:rsidRPr="00893250" w14:paraId="2355C7AD" w14:textId="77777777" w:rsidTr="0067388B">
        <w:trPr>
          <w:jc w:val="center"/>
        </w:trPr>
        <w:tc>
          <w:tcPr>
            <w:tcW w:w="8505" w:type="dxa"/>
            <w:gridSpan w:val="3"/>
            <w:tcBorders>
              <w:bottom w:val="single" w:sz="4" w:space="0" w:color="auto"/>
            </w:tcBorders>
          </w:tcPr>
          <w:p w14:paraId="666DF4D0" w14:textId="77777777" w:rsidR="00893250" w:rsidRPr="00893250" w:rsidRDefault="00893250" w:rsidP="0067388B">
            <w:pPr>
              <w:jc w:val="center"/>
              <w:rPr>
                <w:szCs w:val="24"/>
              </w:rPr>
            </w:pPr>
            <w:r w:rsidRPr="00893250">
              <w:rPr>
                <w:b/>
                <w:szCs w:val="24"/>
              </w:rPr>
              <w:t>2024 METŲ VEIKLOS ATASKAITA</w:t>
            </w:r>
          </w:p>
        </w:tc>
      </w:tr>
      <w:tr w:rsidR="00893250" w:rsidRPr="00893250" w14:paraId="6E9FEDDC" w14:textId="77777777" w:rsidTr="0067388B">
        <w:trPr>
          <w:jc w:val="center"/>
        </w:trPr>
        <w:tc>
          <w:tcPr>
            <w:tcW w:w="2835" w:type="dxa"/>
          </w:tcPr>
          <w:p w14:paraId="2CD9F1D8" w14:textId="77777777" w:rsidR="00893250" w:rsidRPr="00893250" w:rsidRDefault="00893250" w:rsidP="0067388B">
            <w:pPr>
              <w:overflowPunct w:val="0"/>
              <w:jc w:val="center"/>
              <w:textAlignment w:val="baseline"/>
              <w:rPr>
                <w:szCs w:val="24"/>
              </w:rPr>
            </w:pPr>
          </w:p>
        </w:tc>
        <w:tc>
          <w:tcPr>
            <w:tcW w:w="2835" w:type="dxa"/>
            <w:tcBorders>
              <w:top w:val="single" w:sz="4" w:space="0" w:color="auto"/>
              <w:left w:val="nil"/>
              <w:bottom w:val="single" w:sz="4" w:space="0" w:color="auto"/>
            </w:tcBorders>
          </w:tcPr>
          <w:p w14:paraId="401FB593" w14:textId="77777777" w:rsidR="00893250" w:rsidRPr="00893250" w:rsidRDefault="00893250" w:rsidP="0067388B">
            <w:pPr>
              <w:tabs>
                <w:tab w:val="left" w:pos="14656"/>
              </w:tabs>
              <w:overflowPunct w:val="0"/>
              <w:jc w:val="center"/>
              <w:textAlignment w:val="baseline"/>
              <w:rPr>
                <w:szCs w:val="24"/>
              </w:rPr>
            </w:pPr>
            <w:r w:rsidRPr="00893250">
              <w:rPr>
                <w:szCs w:val="24"/>
              </w:rPr>
              <w:t>2025-04-25</w:t>
            </w:r>
          </w:p>
        </w:tc>
        <w:tc>
          <w:tcPr>
            <w:tcW w:w="2835" w:type="dxa"/>
          </w:tcPr>
          <w:p w14:paraId="1B859488" w14:textId="77777777" w:rsidR="00893250" w:rsidRPr="00893250" w:rsidRDefault="00893250" w:rsidP="0067388B">
            <w:pPr>
              <w:tabs>
                <w:tab w:val="left" w:pos="14656"/>
              </w:tabs>
              <w:overflowPunct w:val="0"/>
              <w:textAlignment w:val="baseline"/>
              <w:rPr>
                <w:szCs w:val="24"/>
              </w:rPr>
            </w:pPr>
          </w:p>
        </w:tc>
      </w:tr>
      <w:tr w:rsidR="00893250" w:rsidRPr="00893250" w14:paraId="1ACFB04F" w14:textId="77777777" w:rsidTr="0067388B">
        <w:trPr>
          <w:jc w:val="center"/>
        </w:trPr>
        <w:tc>
          <w:tcPr>
            <w:tcW w:w="2835" w:type="dxa"/>
          </w:tcPr>
          <w:p w14:paraId="08750391" w14:textId="77777777" w:rsidR="00893250" w:rsidRPr="00893250" w:rsidRDefault="00893250" w:rsidP="0067388B">
            <w:pPr>
              <w:overflowPunct w:val="0"/>
              <w:jc w:val="center"/>
              <w:textAlignment w:val="baseline"/>
              <w:rPr>
                <w:szCs w:val="24"/>
              </w:rPr>
            </w:pPr>
          </w:p>
        </w:tc>
        <w:tc>
          <w:tcPr>
            <w:tcW w:w="2835" w:type="dxa"/>
          </w:tcPr>
          <w:p w14:paraId="0C1681DC" w14:textId="77777777" w:rsidR="00893250" w:rsidRPr="00893250" w:rsidRDefault="00893250" w:rsidP="0067388B">
            <w:pPr>
              <w:tabs>
                <w:tab w:val="left" w:pos="14656"/>
              </w:tabs>
              <w:overflowPunct w:val="0"/>
              <w:jc w:val="center"/>
              <w:textAlignment w:val="baseline"/>
              <w:rPr>
                <w:sz w:val="20"/>
              </w:rPr>
            </w:pPr>
            <w:r w:rsidRPr="00893250">
              <w:rPr>
                <w:sz w:val="20"/>
              </w:rPr>
              <w:t>(data)</w:t>
            </w:r>
          </w:p>
        </w:tc>
        <w:tc>
          <w:tcPr>
            <w:tcW w:w="2835" w:type="dxa"/>
          </w:tcPr>
          <w:p w14:paraId="56808087" w14:textId="77777777" w:rsidR="00893250" w:rsidRPr="00893250" w:rsidRDefault="00893250" w:rsidP="0067388B">
            <w:pPr>
              <w:tabs>
                <w:tab w:val="left" w:pos="14656"/>
              </w:tabs>
              <w:overflowPunct w:val="0"/>
              <w:jc w:val="center"/>
              <w:textAlignment w:val="baseline"/>
              <w:rPr>
                <w:szCs w:val="24"/>
              </w:rPr>
            </w:pPr>
          </w:p>
        </w:tc>
      </w:tr>
      <w:tr w:rsidR="00893250" w:rsidRPr="00893250" w14:paraId="3FE7B242" w14:textId="77777777" w:rsidTr="0067388B">
        <w:trPr>
          <w:jc w:val="center"/>
        </w:trPr>
        <w:tc>
          <w:tcPr>
            <w:tcW w:w="2835" w:type="dxa"/>
          </w:tcPr>
          <w:p w14:paraId="2CAB8471" w14:textId="77777777" w:rsidR="00893250" w:rsidRPr="00893250" w:rsidRDefault="00893250" w:rsidP="0067388B">
            <w:pPr>
              <w:tabs>
                <w:tab w:val="left" w:pos="14656"/>
              </w:tabs>
              <w:overflowPunct w:val="0"/>
              <w:jc w:val="center"/>
              <w:textAlignment w:val="baseline"/>
              <w:rPr>
                <w:szCs w:val="24"/>
              </w:rPr>
            </w:pPr>
          </w:p>
        </w:tc>
        <w:tc>
          <w:tcPr>
            <w:tcW w:w="2835" w:type="dxa"/>
            <w:tcBorders>
              <w:bottom w:val="single" w:sz="4" w:space="0" w:color="auto"/>
            </w:tcBorders>
          </w:tcPr>
          <w:p w14:paraId="4B04B04D" w14:textId="77777777" w:rsidR="00893250" w:rsidRPr="00893250" w:rsidRDefault="00893250" w:rsidP="0067388B">
            <w:pPr>
              <w:tabs>
                <w:tab w:val="left" w:pos="14656"/>
              </w:tabs>
              <w:overflowPunct w:val="0"/>
              <w:jc w:val="center"/>
              <w:textAlignment w:val="baseline"/>
              <w:rPr>
                <w:szCs w:val="24"/>
              </w:rPr>
            </w:pPr>
            <w:r w:rsidRPr="00893250">
              <w:rPr>
                <w:szCs w:val="24"/>
              </w:rPr>
              <w:t>Jurbarkas</w:t>
            </w:r>
          </w:p>
        </w:tc>
        <w:tc>
          <w:tcPr>
            <w:tcW w:w="2835" w:type="dxa"/>
          </w:tcPr>
          <w:p w14:paraId="0DEC5E3B" w14:textId="77777777" w:rsidR="00893250" w:rsidRPr="00893250" w:rsidRDefault="00893250" w:rsidP="0067388B">
            <w:pPr>
              <w:tabs>
                <w:tab w:val="left" w:pos="14656"/>
              </w:tabs>
              <w:overflowPunct w:val="0"/>
              <w:jc w:val="center"/>
              <w:textAlignment w:val="baseline"/>
              <w:rPr>
                <w:szCs w:val="24"/>
              </w:rPr>
            </w:pPr>
          </w:p>
        </w:tc>
      </w:tr>
      <w:tr w:rsidR="00893250" w:rsidRPr="00893250" w14:paraId="5C24EAD9" w14:textId="77777777" w:rsidTr="0067388B">
        <w:trPr>
          <w:jc w:val="center"/>
        </w:trPr>
        <w:tc>
          <w:tcPr>
            <w:tcW w:w="8505" w:type="dxa"/>
            <w:gridSpan w:val="3"/>
          </w:tcPr>
          <w:p w14:paraId="36AE69FD" w14:textId="77777777" w:rsidR="00893250" w:rsidRPr="00893250" w:rsidRDefault="00893250" w:rsidP="0067388B">
            <w:pPr>
              <w:tabs>
                <w:tab w:val="left" w:pos="14656"/>
              </w:tabs>
              <w:overflowPunct w:val="0"/>
              <w:jc w:val="center"/>
              <w:textAlignment w:val="baseline"/>
              <w:rPr>
                <w:sz w:val="20"/>
              </w:rPr>
            </w:pPr>
            <w:r w:rsidRPr="00893250">
              <w:rPr>
                <w:sz w:val="20"/>
              </w:rPr>
              <w:t>(sudarymo vieta)</w:t>
            </w:r>
          </w:p>
        </w:tc>
      </w:tr>
    </w:tbl>
    <w:p w14:paraId="0F525BCE" w14:textId="77777777" w:rsidR="00893250" w:rsidRPr="00893250" w:rsidRDefault="00893250" w:rsidP="00893250">
      <w:pPr>
        <w:suppressAutoHyphens/>
        <w:spacing w:before="240" w:after="120"/>
        <w:jc w:val="center"/>
        <w:textAlignment w:val="baseline"/>
        <w:rPr>
          <w:b/>
          <w:bCs/>
          <w:szCs w:val="24"/>
        </w:rPr>
      </w:pPr>
      <w:r w:rsidRPr="00893250">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893250" w:rsidRPr="00893250" w14:paraId="3D469BFC" w14:textId="77777777" w:rsidTr="0067388B">
        <w:trPr>
          <w:trHeight w:val="470"/>
        </w:trPr>
        <w:tc>
          <w:tcPr>
            <w:tcW w:w="14459" w:type="dxa"/>
          </w:tcPr>
          <w:p w14:paraId="6598A08F" w14:textId="77777777" w:rsidR="00893250" w:rsidRPr="00893250" w:rsidRDefault="00893250" w:rsidP="0067388B">
            <w:pPr>
              <w:ind w:left="720"/>
              <w:rPr>
                <w:rFonts w:eastAsia="Calibri"/>
                <w:b/>
                <w:szCs w:val="24"/>
                <w:lang w:eastAsia="en-US"/>
              </w:rPr>
            </w:pPr>
            <w:r w:rsidRPr="00893250">
              <w:rPr>
                <w:rFonts w:eastAsia="Calibri"/>
                <w:szCs w:val="24"/>
                <w:lang w:eastAsia="en-US"/>
              </w:rPr>
              <w:t xml:space="preserve">Įstaigos direktorius – Jurgita </w:t>
            </w:r>
            <w:proofErr w:type="spellStart"/>
            <w:r w:rsidRPr="00893250">
              <w:rPr>
                <w:rFonts w:eastAsia="Calibri"/>
                <w:szCs w:val="24"/>
                <w:lang w:eastAsia="en-US"/>
              </w:rPr>
              <w:t>Volbikienė</w:t>
            </w:r>
            <w:proofErr w:type="spellEnd"/>
          </w:p>
          <w:p w14:paraId="2B548D07" w14:textId="77777777" w:rsidR="00893250" w:rsidRPr="00893250" w:rsidRDefault="00893250" w:rsidP="0067388B">
            <w:pPr>
              <w:ind w:firstLine="720"/>
              <w:rPr>
                <w:rFonts w:eastAsia="Calibri"/>
                <w:szCs w:val="24"/>
                <w:lang w:eastAsia="en-US"/>
              </w:rPr>
            </w:pPr>
            <w:r w:rsidRPr="00893250">
              <w:rPr>
                <w:rFonts w:eastAsia="Calibri"/>
                <w:szCs w:val="24"/>
                <w:lang w:eastAsia="en-US"/>
              </w:rPr>
              <w:t xml:space="preserve">Tarybos pirmininkė – Sigita </w:t>
            </w:r>
            <w:proofErr w:type="spellStart"/>
            <w:r w:rsidRPr="00893250">
              <w:rPr>
                <w:rFonts w:eastAsia="Calibri"/>
                <w:szCs w:val="24"/>
                <w:lang w:eastAsia="en-US"/>
              </w:rPr>
              <w:t>Kiudienė</w:t>
            </w:r>
            <w:proofErr w:type="spellEnd"/>
          </w:p>
          <w:p w14:paraId="65B321C7" w14:textId="77777777" w:rsidR="00893250" w:rsidRPr="00893250" w:rsidRDefault="00893250" w:rsidP="0067388B">
            <w:pPr>
              <w:ind w:firstLine="720"/>
              <w:rPr>
                <w:szCs w:val="24"/>
                <w:lang w:eastAsia="en-US"/>
              </w:rPr>
            </w:pPr>
            <w:r w:rsidRPr="00893250">
              <w:rPr>
                <w:rFonts w:eastAsia="Calibri"/>
                <w:szCs w:val="24"/>
                <w:lang w:eastAsia="en-US"/>
              </w:rPr>
              <w:t xml:space="preserve">Pagrindinė įstaigos veiklos rūšis – </w:t>
            </w:r>
            <w:r w:rsidRPr="00893250">
              <w:rPr>
                <w:szCs w:val="24"/>
                <w:lang w:eastAsia="en-US"/>
              </w:rPr>
              <w:t xml:space="preserve">bendrasis pagrindinis ugdymas. </w:t>
            </w:r>
          </w:p>
          <w:p w14:paraId="2423C023" w14:textId="77777777" w:rsidR="00893250" w:rsidRPr="00893250" w:rsidRDefault="00893250" w:rsidP="0067388B">
            <w:pPr>
              <w:ind w:firstLine="720"/>
              <w:rPr>
                <w:szCs w:val="24"/>
                <w:lang w:eastAsia="en-US"/>
              </w:rPr>
            </w:pPr>
            <w:r w:rsidRPr="00893250">
              <w:rPr>
                <w:szCs w:val="24"/>
                <w:lang w:eastAsia="en-US"/>
              </w:rPr>
              <w:t>Kitos įstaigos veiklos rūšys – pradinis ugdymas, ikimokyklinis ir priešmokyklinis ugdymas, neformalus mokinių švietimas.</w:t>
            </w:r>
          </w:p>
          <w:p w14:paraId="0A8EC753" w14:textId="77777777" w:rsidR="00893250" w:rsidRPr="00893250" w:rsidRDefault="00893250" w:rsidP="0067388B">
            <w:pPr>
              <w:ind w:firstLine="720"/>
              <w:jc w:val="both"/>
              <w:rPr>
                <w:szCs w:val="24"/>
              </w:rPr>
            </w:pPr>
            <w:r w:rsidRPr="00893250">
              <w:rPr>
                <w:szCs w:val="24"/>
              </w:rPr>
              <w:t xml:space="preserve">Vadovaudamasi Jurbarko savivaldybės tarybos 2024 m. balandžio 25 d. sprendimais Nr. T2-92 „Dėl sutikimo reorganizuoti Jurbarko r. </w:t>
            </w:r>
            <w:proofErr w:type="spellStart"/>
            <w:r w:rsidRPr="00893250">
              <w:rPr>
                <w:szCs w:val="24"/>
              </w:rPr>
              <w:t>Smalininkų</w:t>
            </w:r>
            <w:proofErr w:type="spellEnd"/>
            <w:r w:rsidRPr="00893250">
              <w:rPr>
                <w:szCs w:val="24"/>
              </w:rPr>
              <w:t xml:space="preserve"> Lidijos </w:t>
            </w:r>
            <w:proofErr w:type="spellStart"/>
            <w:r w:rsidRPr="00893250">
              <w:rPr>
                <w:szCs w:val="24"/>
              </w:rPr>
              <w:t>Meškaitytės</w:t>
            </w:r>
            <w:proofErr w:type="spellEnd"/>
            <w:r w:rsidRPr="00893250">
              <w:rPr>
                <w:szCs w:val="24"/>
              </w:rPr>
              <w:t xml:space="preserve"> pagrindinę mokyklą, prijungiant prie Jurbarko Vytauto Didžiojo progimnazijos ir pritarimo reorganizavimo sąlygų aprašui“ ir Nr. T2-93 „Dėl sutikimo reorganizuoti Jurbarko r. Viešvilės pagrindinę mokyklą, prijungiant prie Jurbarko Vytauto Didžiojo progimnazijos ir pritarimo reorganizavimo sąlygų aprašui“, Jurbarko Vytauto Didžiojo progimnazija dalyvavo reorganizavime. Po reorganizavimo, t. y. nuo 2024 m. rugpjūčio mėn. 31 d. Jurbarko Vytauto Didžiojo pagrindinė mokykla vykdo ikimokyklinio, priešmokyklinio, pradinio ir pagrindinio ugdymo programas, kitas švietimo programas, o jos Viešvilės ir </w:t>
            </w:r>
            <w:proofErr w:type="spellStart"/>
            <w:r w:rsidRPr="00893250">
              <w:rPr>
                <w:szCs w:val="24"/>
              </w:rPr>
              <w:t>Smalininkų</w:t>
            </w:r>
            <w:proofErr w:type="spellEnd"/>
            <w:r w:rsidRPr="00893250">
              <w:rPr>
                <w:szCs w:val="24"/>
              </w:rPr>
              <w:t xml:space="preserve"> Lidijos </w:t>
            </w:r>
            <w:proofErr w:type="spellStart"/>
            <w:r w:rsidRPr="00893250">
              <w:rPr>
                <w:szCs w:val="24"/>
              </w:rPr>
              <w:t>Meškaitytės</w:t>
            </w:r>
            <w:proofErr w:type="spellEnd"/>
            <w:r w:rsidRPr="00893250">
              <w:rPr>
                <w:szCs w:val="24"/>
              </w:rPr>
              <w:t xml:space="preserve"> skyriai – ikimokyklinio, priešmokyklinio, pradinio ir pagrindinio ugdymo programas, kitas švietimo programas.</w:t>
            </w:r>
          </w:p>
          <w:p w14:paraId="22816F01" w14:textId="77777777" w:rsidR="00893250" w:rsidRPr="00893250" w:rsidRDefault="00893250" w:rsidP="0067388B">
            <w:pPr>
              <w:ind w:firstLine="720"/>
              <w:jc w:val="both"/>
              <w:rPr>
                <w:szCs w:val="24"/>
              </w:rPr>
            </w:pPr>
            <w:r w:rsidRPr="00893250">
              <w:rPr>
                <w:szCs w:val="24"/>
              </w:rPr>
              <w:t>2024 m. rugsėjo 1 d. duomenimis mokykloje ir jos skyriuose sukomplektuota 30 komplektų (IU–PU grupių – 4), (1–4 klasių – 11, (2 komplektai jungtinės klasės –1–2, 1–3), 5–10 klasių – 17).</w:t>
            </w:r>
          </w:p>
          <w:p w14:paraId="5A8C4783" w14:textId="77777777" w:rsidR="00893250" w:rsidRPr="00893250" w:rsidRDefault="00893250" w:rsidP="0067388B">
            <w:pPr>
              <w:ind w:firstLine="720"/>
              <w:jc w:val="both"/>
              <w:rPr>
                <w:szCs w:val="24"/>
              </w:rPr>
            </w:pPr>
            <w:r w:rsidRPr="00893250">
              <w:rPr>
                <w:szCs w:val="24"/>
                <w:lang w:eastAsia="en-US"/>
              </w:rPr>
              <w:t xml:space="preserve">Jurbarko Vytauto Didžiojo pagrindinė mokykla dalyvauja projekte „Tūkstantmečio mokyklos II“,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Mokykloje baigti vidaus patalpų remonto darbai pagal projektą „Tūkstantmečio </w:t>
            </w:r>
            <w:r w:rsidRPr="00893250">
              <w:rPr>
                <w:szCs w:val="24"/>
                <w:lang w:eastAsia="en-US"/>
              </w:rPr>
              <w:lastRenderedPageBreak/>
              <w:t>mokyklos II“ (Nr. 10-012-P-0001). Remonto darbų metu mokykloje buvo įrengtos gamtos mokslų, </w:t>
            </w:r>
            <w:proofErr w:type="spellStart"/>
            <w:r w:rsidRPr="00893250">
              <w:rPr>
                <w:szCs w:val="24"/>
                <w:lang w:eastAsia="en-US"/>
              </w:rPr>
              <w:t>robotikos</w:t>
            </w:r>
            <w:proofErr w:type="spellEnd"/>
            <w:r w:rsidRPr="00893250">
              <w:rPr>
                <w:szCs w:val="24"/>
                <w:lang w:eastAsia="en-US"/>
              </w:rPr>
              <w:t xml:space="preserve"> ir „</w:t>
            </w:r>
            <w:proofErr w:type="spellStart"/>
            <w:r w:rsidRPr="00893250">
              <w:rPr>
                <w:szCs w:val="24"/>
                <w:lang w:eastAsia="en-US"/>
              </w:rPr>
              <w:t>Fablab</w:t>
            </w:r>
            <w:proofErr w:type="spellEnd"/>
            <w:r w:rsidRPr="00893250">
              <w:rPr>
                <w:szCs w:val="24"/>
                <w:lang w:eastAsia="en-US"/>
              </w:rPr>
              <w:t>“ laboratorijos, dailės ir taikomojo meno studija. Iš viso atnaujinta 12 kabinetų. Darbų vertė 160381,00 Eur. Aktyviai vyksta dalykų konsultacijos mokiniams, ugdomos dalykinės ir kūrybinės kompetencijos. Mokytojai, pagalbos mokiniui specialistai aktyviai dalyvauja „Tūkstantmečio mokyklos II“ projekto, pažangos plano įgyvendinime.</w:t>
            </w:r>
          </w:p>
          <w:p w14:paraId="52A057BD" w14:textId="77777777" w:rsidR="00893250" w:rsidRPr="00893250" w:rsidRDefault="00893250" w:rsidP="0067388B">
            <w:pPr>
              <w:ind w:firstLine="720"/>
              <w:jc w:val="both"/>
              <w:rPr>
                <w:szCs w:val="24"/>
              </w:rPr>
            </w:pPr>
            <w:r w:rsidRPr="00893250">
              <w:t xml:space="preserve">Žurnalas „Reitingai“ nustatė, jog 2024 metais mokykla patenka į tarp geriausių Lietuvos pagrindinių mokyklų, pažangiųjų švietimo institucijų sąrašą. </w:t>
            </w:r>
          </w:p>
          <w:p w14:paraId="6C52BDC2" w14:textId="77777777" w:rsidR="00893250" w:rsidRPr="00893250" w:rsidRDefault="00893250" w:rsidP="0067388B">
            <w:pPr>
              <w:ind w:firstLine="720"/>
              <w:jc w:val="both"/>
              <w:rPr>
                <w:szCs w:val="24"/>
              </w:rPr>
            </w:pPr>
            <w:r w:rsidRPr="00893250">
              <w:rPr>
                <w:rFonts w:eastAsia="Calibri"/>
                <w:bCs/>
                <w:iCs/>
                <w:szCs w:val="24"/>
              </w:rPr>
              <w:t xml:space="preserve">Kvalifikuoti pedagogai ir pagalbos mokiniui specialistai užtikrina stabilų Mokyklos ir jos skyrių darbą, kokybišką ugdymo teikimą. </w:t>
            </w:r>
          </w:p>
        </w:tc>
      </w:tr>
    </w:tbl>
    <w:p w14:paraId="58DAEA96" w14:textId="77777777" w:rsidR="00893250" w:rsidRPr="00893250" w:rsidRDefault="00893250" w:rsidP="00893250">
      <w:pPr>
        <w:suppressAutoHyphens/>
        <w:spacing w:before="120"/>
        <w:jc w:val="center"/>
        <w:textAlignment w:val="baseline"/>
        <w:rPr>
          <w:b/>
          <w:bCs/>
          <w:szCs w:val="24"/>
        </w:rPr>
      </w:pPr>
      <w:r w:rsidRPr="00893250">
        <w:rPr>
          <w:b/>
          <w:bCs/>
          <w:szCs w:val="24"/>
        </w:rPr>
        <w:lastRenderedPageBreak/>
        <w:t>I SKYRIUS</w:t>
      </w:r>
    </w:p>
    <w:p w14:paraId="616666BD" w14:textId="77777777" w:rsidR="00893250" w:rsidRPr="00893250" w:rsidRDefault="00893250" w:rsidP="00893250">
      <w:pPr>
        <w:suppressAutoHyphens/>
        <w:spacing w:after="120"/>
        <w:jc w:val="center"/>
        <w:textAlignment w:val="baseline"/>
        <w:rPr>
          <w:b/>
          <w:bCs/>
          <w:szCs w:val="24"/>
        </w:rPr>
      </w:pPr>
      <w:r w:rsidRPr="00893250">
        <w:rPr>
          <w:b/>
          <w:bCs/>
          <w:szCs w:val="24"/>
        </w:rPr>
        <w:t>ĮSTAIGOS VEIKLOS PLANAVIMAS</w:t>
      </w: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91"/>
        <w:gridCol w:w="8931"/>
      </w:tblGrid>
      <w:tr w:rsidR="00893250" w:rsidRPr="00893250" w14:paraId="6A553AE6" w14:textId="77777777" w:rsidTr="00893250">
        <w:trPr>
          <w:trHeight w:val="311"/>
        </w:trPr>
        <w:tc>
          <w:tcPr>
            <w:tcW w:w="2666" w:type="dxa"/>
            <w:vMerge w:val="restart"/>
            <w:tcBorders>
              <w:top w:val="single" w:sz="4" w:space="0" w:color="auto"/>
              <w:left w:val="single" w:sz="4" w:space="0" w:color="auto"/>
              <w:right w:val="single" w:sz="4" w:space="0" w:color="auto"/>
            </w:tcBorders>
          </w:tcPr>
          <w:p w14:paraId="3080503B" w14:textId="77777777" w:rsidR="00893250" w:rsidRPr="00893250" w:rsidRDefault="00893250" w:rsidP="0067388B">
            <w:pPr>
              <w:rPr>
                <w:b/>
                <w:bCs/>
                <w:szCs w:val="24"/>
                <w:lang w:eastAsia="en-US"/>
              </w:rPr>
            </w:pPr>
            <w:r w:rsidRPr="00893250">
              <w:rPr>
                <w:szCs w:val="24"/>
                <w:lang w:eastAsia="en-US"/>
              </w:rPr>
              <w:t>Įstaigos veiklos planavimas,</w:t>
            </w:r>
            <w:r w:rsidRPr="00893250">
              <w:rPr>
                <w:b/>
                <w:bCs/>
                <w:szCs w:val="24"/>
                <w:lang w:eastAsia="en-US"/>
              </w:rPr>
              <w:t xml:space="preserve"> </w:t>
            </w:r>
            <w:r w:rsidRPr="00893250">
              <w:rPr>
                <w:szCs w:val="24"/>
                <w:lang w:eastAsia="en-US"/>
              </w:rPr>
              <w:t>įgyvendinimas ir tobulinimas</w:t>
            </w:r>
          </w:p>
        </w:tc>
        <w:tc>
          <w:tcPr>
            <w:tcW w:w="2891" w:type="dxa"/>
            <w:tcBorders>
              <w:top w:val="single" w:sz="4" w:space="0" w:color="auto"/>
              <w:left w:val="single" w:sz="4" w:space="0" w:color="auto"/>
              <w:bottom w:val="single" w:sz="4" w:space="0" w:color="auto"/>
              <w:right w:val="single" w:sz="4" w:space="0" w:color="auto"/>
            </w:tcBorders>
          </w:tcPr>
          <w:p w14:paraId="4592ACAB" w14:textId="77777777" w:rsidR="00893250" w:rsidRPr="00893250" w:rsidRDefault="00893250" w:rsidP="0067388B">
            <w:pPr>
              <w:jc w:val="both"/>
              <w:rPr>
                <w:b/>
                <w:bCs/>
                <w:szCs w:val="24"/>
                <w:lang w:eastAsia="en-US"/>
              </w:rPr>
            </w:pPr>
            <w:r w:rsidRPr="00893250">
              <w:rPr>
                <w:szCs w:val="24"/>
                <w:lang w:eastAsia="en-US"/>
              </w:rPr>
              <w:t>Įstaigos strateginis planas</w:t>
            </w:r>
          </w:p>
        </w:tc>
        <w:tc>
          <w:tcPr>
            <w:tcW w:w="8931" w:type="dxa"/>
            <w:tcBorders>
              <w:top w:val="single" w:sz="4" w:space="0" w:color="auto"/>
              <w:left w:val="single" w:sz="4" w:space="0" w:color="auto"/>
              <w:bottom w:val="single" w:sz="4" w:space="0" w:color="auto"/>
              <w:right w:val="single" w:sz="4" w:space="0" w:color="auto"/>
            </w:tcBorders>
          </w:tcPr>
          <w:p w14:paraId="26F6EFAB" w14:textId="77777777" w:rsidR="00893250" w:rsidRPr="00893250" w:rsidRDefault="00893250" w:rsidP="0067388B">
            <w:pPr>
              <w:jc w:val="both"/>
              <w:rPr>
                <w:rFonts w:eastAsia="Calibri"/>
                <w:b/>
                <w:szCs w:val="24"/>
                <w:lang w:eastAsia="en-US"/>
              </w:rPr>
            </w:pPr>
            <w:r w:rsidRPr="00893250">
              <w:rPr>
                <w:rFonts w:eastAsia="Calibri"/>
                <w:bCs/>
                <w:szCs w:val="24"/>
                <w:lang w:eastAsia="en-US"/>
              </w:rPr>
              <w:t>Patvirtintas Jurbarko rajono savivaldybės Švietimo, kultūros ir sporto skyriaus vedėjo 2025 m. balandžio 14 d. įsakymu Nr. ŠS6-97 „Dėl pritarimo Jurbarko Vytauto Didžiojo pagrindinės mokyklos 2025–2027 metų strateginiam planui“.</w:t>
            </w:r>
          </w:p>
        </w:tc>
      </w:tr>
      <w:tr w:rsidR="00893250" w:rsidRPr="00893250" w14:paraId="2E445D9B" w14:textId="77777777" w:rsidTr="00893250">
        <w:trPr>
          <w:trHeight w:val="92"/>
        </w:trPr>
        <w:tc>
          <w:tcPr>
            <w:tcW w:w="2666" w:type="dxa"/>
            <w:vMerge/>
            <w:tcBorders>
              <w:left w:val="single" w:sz="4" w:space="0" w:color="auto"/>
              <w:right w:val="single" w:sz="4" w:space="0" w:color="auto"/>
            </w:tcBorders>
          </w:tcPr>
          <w:p w14:paraId="62C18A34"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35DFE860" w14:textId="77777777" w:rsidR="00893250" w:rsidRPr="00893250" w:rsidRDefault="00893250" w:rsidP="0067388B">
            <w:pPr>
              <w:rPr>
                <w:b/>
                <w:bCs/>
                <w:szCs w:val="24"/>
                <w:lang w:eastAsia="en-US"/>
              </w:rPr>
            </w:pPr>
            <w:r w:rsidRPr="00893250">
              <w:rPr>
                <w:szCs w:val="24"/>
                <w:lang w:eastAsia="en-US"/>
              </w:rPr>
              <w:t>Įstaigos metinis veiklos planas</w:t>
            </w:r>
          </w:p>
        </w:tc>
        <w:tc>
          <w:tcPr>
            <w:tcW w:w="8931" w:type="dxa"/>
            <w:tcBorders>
              <w:top w:val="single" w:sz="4" w:space="0" w:color="auto"/>
              <w:left w:val="single" w:sz="4" w:space="0" w:color="auto"/>
              <w:bottom w:val="single" w:sz="4" w:space="0" w:color="auto"/>
              <w:right w:val="single" w:sz="4" w:space="0" w:color="auto"/>
            </w:tcBorders>
          </w:tcPr>
          <w:p w14:paraId="69E26B89" w14:textId="77777777" w:rsidR="00893250" w:rsidRPr="00893250" w:rsidRDefault="00893250" w:rsidP="0067388B">
            <w:pPr>
              <w:jc w:val="both"/>
              <w:rPr>
                <w:rFonts w:eastAsia="Calibri"/>
                <w:b/>
                <w:szCs w:val="24"/>
                <w:lang w:eastAsia="en-US"/>
              </w:rPr>
            </w:pPr>
            <w:r w:rsidRPr="00893250">
              <w:t>Patvirtintas 2025 m. balandžio 24 d. direktoriaus įsakymu Nr. V1-147 „Dėl Jurbarko Vytauto Didžiojo pagrindinės mokyklos metinio veiklos plano tvirtinimo“.</w:t>
            </w:r>
          </w:p>
        </w:tc>
      </w:tr>
      <w:tr w:rsidR="00893250" w:rsidRPr="00893250" w14:paraId="6BAAE31C" w14:textId="77777777" w:rsidTr="00893250">
        <w:trPr>
          <w:trHeight w:val="992"/>
        </w:trPr>
        <w:tc>
          <w:tcPr>
            <w:tcW w:w="2666" w:type="dxa"/>
            <w:vMerge/>
            <w:tcBorders>
              <w:left w:val="single" w:sz="4" w:space="0" w:color="auto"/>
              <w:right w:val="single" w:sz="4" w:space="0" w:color="auto"/>
            </w:tcBorders>
          </w:tcPr>
          <w:p w14:paraId="0FC7E04C" w14:textId="77777777" w:rsidR="00893250" w:rsidRPr="00893250" w:rsidRDefault="00893250" w:rsidP="0067388B">
            <w:pPr>
              <w:rPr>
                <w:szCs w:val="24"/>
                <w:lang w:eastAsia="en-US"/>
              </w:rPr>
            </w:pPr>
          </w:p>
        </w:tc>
        <w:tc>
          <w:tcPr>
            <w:tcW w:w="2891" w:type="dxa"/>
            <w:tcBorders>
              <w:top w:val="single" w:sz="4" w:space="0" w:color="auto"/>
              <w:left w:val="single" w:sz="4" w:space="0" w:color="auto"/>
              <w:right w:val="single" w:sz="4" w:space="0" w:color="auto"/>
            </w:tcBorders>
          </w:tcPr>
          <w:p w14:paraId="01F4870D" w14:textId="77777777" w:rsidR="00893250" w:rsidRPr="00893250" w:rsidRDefault="00893250" w:rsidP="0067388B">
            <w:pPr>
              <w:jc w:val="both"/>
              <w:rPr>
                <w:b/>
                <w:bCs/>
                <w:szCs w:val="24"/>
                <w:lang w:eastAsia="en-US"/>
              </w:rPr>
            </w:pPr>
            <w:r w:rsidRPr="00893250">
              <w:rPr>
                <w:szCs w:val="24"/>
                <w:lang w:eastAsia="en-US"/>
              </w:rPr>
              <w:t>2024 metų įstaigos pagrindiniai veiklos tikslai</w:t>
            </w:r>
          </w:p>
        </w:tc>
        <w:tc>
          <w:tcPr>
            <w:tcW w:w="8931" w:type="dxa"/>
            <w:tcBorders>
              <w:top w:val="single" w:sz="4" w:space="0" w:color="auto"/>
              <w:left w:val="single" w:sz="4" w:space="0" w:color="auto"/>
              <w:right w:val="single" w:sz="4" w:space="0" w:color="auto"/>
            </w:tcBorders>
          </w:tcPr>
          <w:p w14:paraId="1CED9D1F" w14:textId="77777777" w:rsidR="00893250" w:rsidRPr="00893250" w:rsidRDefault="00893250" w:rsidP="0067388B">
            <w:pPr>
              <w:pStyle w:val="Sraopastraipa"/>
              <w:numPr>
                <w:ilvl w:val="0"/>
                <w:numId w:val="9"/>
              </w:numPr>
              <w:tabs>
                <w:tab w:val="left" w:pos="348"/>
              </w:tabs>
              <w:ind w:left="0" w:firstLine="0"/>
              <w:jc w:val="both"/>
              <w:rPr>
                <w:bCs/>
                <w:iCs/>
              </w:rPr>
            </w:pPr>
            <w:r w:rsidRPr="00893250">
              <w:rPr>
                <w:bCs/>
                <w:iCs/>
              </w:rPr>
              <w:t xml:space="preserve">Tobulinti ugdymo ir priežiūros kokybę, užtikrinant ugdymo turinio kaitą, atitinkančią šiuolaikinius ugdymo tikslus. </w:t>
            </w:r>
          </w:p>
          <w:p w14:paraId="62B165DC" w14:textId="77777777" w:rsidR="00893250" w:rsidRPr="00893250" w:rsidRDefault="00893250" w:rsidP="0067388B">
            <w:pPr>
              <w:pStyle w:val="Sraopastraipa"/>
              <w:numPr>
                <w:ilvl w:val="0"/>
                <w:numId w:val="9"/>
              </w:numPr>
              <w:tabs>
                <w:tab w:val="left" w:pos="348"/>
              </w:tabs>
              <w:ind w:left="0" w:firstLine="0"/>
              <w:jc w:val="both"/>
              <w:rPr>
                <w:bCs/>
                <w:iCs/>
              </w:rPr>
            </w:pPr>
            <w:r w:rsidRPr="00893250">
              <w:rPr>
                <w:bCs/>
                <w:iCs/>
                <w:szCs w:val="24"/>
                <w:lang w:eastAsia="en-US"/>
              </w:rPr>
              <w:t xml:space="preserve">Kurti sąlygas ir palaikyti mokymosi kultūros įsitvirtinimą gyvenime. </w:t>
            </w:r>
          </w:p>
          <w:p w14:paraId="4A9D9139" w14:textId="77777777" w:rsidR="00893250" w:rsidRPr="00893250" w:rsidRDefault="00893250" w:rsidP="0067388B">
            <w:pPr>
              <w:pStyle w:val="Sraopastraipa"/>
              <w:numPr>
                <w:ilvl w:val="0"/>
                <w:numId w:val="9"/>
              </w:numPr>
              <w:tabs>
                <w:tab w:val="left" w:pos="348"/>
              </w:tabs>
              <w:ind w:left="0" w:firstLine="0"/>
              <w:jc w:val="both"/>
              <w:rPr>
                <w:bCs/>
                <w:iCs/>
              </w:rPr>
            </w:pPr>
            <w:r w:rsidRPr="00893250">
              <w:rPr>
                <w:rFonts w:eastAsia="Aptos"/>
                <w:bCs/>
                <w:iCs/>
                <w:kern w:val="2"/>
                <w:szCs w:val="24"/>
                <w:lang w:eastAsia="en-US"/>
                <w14:ligatures w14:val="standardContextual"/>
              </w:rPr>
              <w:t>Plėtoti mokinių bendrąsias ir būtinas aktyviam gyvenimui besikeičiančioje visuomenėje kompetencijas, vykdant atnaujintų ugdymo bendrųjų programų reikalavimus.</w:t>
            </w:r>
          </w:p>
          <w:p w14:paraId="19D90B8E" w14:textId="77777777" w:rsidR="00893250" w:rsidRPr="00893250" w:rsidRDefault="00893250" w:rsidP="0067388B">
            <w:pPr>
              <w:pStyle w:val="Sraopastraipa"/>
              <w:numPr>
                <w:ilvl w:val="0"/>
                <w:numId w:val="9"/>
              </w:numPr>
              <w:tabs>
                <w:tab w:val="left" w:pos="348"/>
              </w:tabs>
              <w:ind w:left="0" w:firstLine="0"/>
              <w:jc w:val="both"/>
              <w:rPr>
                <w:bCs/>
                <w:iCs/>
              </w:rPr>
            </w:pPr>
            <w:r w:rsidRPr="00893250">
              <w:rPr>
                <w:bCs/>
                <w:iCs/>
              </w:rPr>
              <w:t>Stiprinti mokyklos bendruomenės vaidmenį, ugdant dorines, tautines ir pilietines vertybines nuostatas pasirinkta karinės aviacijos filosofijos kryptimi.</w:t>
            </w:r>
          </w:p>
          <w:p w14:paraId="369D03E1" w14:textId="77777777" w:rsidR="00893250" w:rsidRPr="00893250" w:rsidRDefault="00893250" w:rsidP="0067388B">
            <w:pPr>
              <w:pStyle w:val="Sraopastraipa"/>
              <w:numPr>
                <w:ilvl w:val="0"/>
                <w:numId w:val="9"/>
              </w:numPr>
              <w:tabs>
                <w:tab w:val="left" w:pos="348"/>
              </w:tabs>
              <w:ind w:left="0" w:firstLine="0"/>
              <w:jc w:val="both"/>
              <w:rPr>
                <w:bCs/>
                <w:iCs/>
              </w:rPr>
            </w:pPr>
            <w:r w:rsidRPr="00893250">
              <w:rPr>
                <w:bCs/>
                <w:iCs/>
              </w:rPr>
              <w:t xml:space="preserve">Kurti veiksmingas sąlygas, skatinančias mokinių pasiekimų </w:t>
            </w:r>
            <w:proofErr w:type="spellStart"/>
            <w:r w:rsidRPr="00893250">
              <w:rPr>
                <w:bCs/>
                <w:iCs/>
              </w:rPr>
              <w:t>ūgtį</w:t>
            </w:r>
            <w:proofErr w:type="spellEnd"/>
            <w:r w:rsidRPr="00893250">
              <w:rPr>
                <w:bCs/>
                <w:iCs/>
              </w:rPr>
              <w:t>.</w:t>
            </w:r>
          </w:p>
          <w:p w14:paraId="40AA988B" w14:textId="77777777" w:rsidR="00893250" w:rsidRPr="00893250" w:rsidRDefault="00893250" w:rsidP="0067388B">
            <w:pPr>
              <w:pStyle w:val="Sraopastraipa"/>
              <w:numPr>
                <w:ilvl w:val="0"/>
                <w:numId w:val="9"/>
              </w:numPr>
              <w:tabs>
                <w:tab w:val="left" w:pos="348"/>
              </w:tabs>
              <w:ind w:left="0" w:firstLine="0"/>
              <w:jc w:val="both"/>
              <w:rPr>
                <w:b/>
              </w:rPr>
            </w:pPr>
            <w:r w:rsidRPr="00893250">
              <w:rPr>
                <w:bCs/>
                <w:iCs/>
              </w:rPr>
              <w:t>Kurti modernią, saugią ugdymo aplinką, puoselėjant mokyklos kultūrą bei tradicijas.</w:t>
            </w:r>
          </w:p>
        </w:tc>
      </w:tr>
      <w:tr w:rsidR="00893250" w:rsidRPr="00893250" w14:paraId="09CDD3AD" w14:textId="77777777" w:rsidTr="00893250">
        <w:trPr>
          <w:trHeight w:val="283"/>
        </w:trPr>
        <w:tc>
          <w:tcPr>
            <w:tcW w:w="2666" w:type="dxa"/>
            <w:vMerge/>
            <w:tcBorders>
              <w:left w:val="single" w:sz="4" w:space="0" w:color="auto"/>
              <w:right w:val="single" w:sz="4" w:space="0" w:color="auto"/>
            </w:tcBorders>
          </w:tcPr>
          <w:p w14:paraId="15D7A87A" w14:textId="77777777" w:rsidR="00893250" w:rsidRPr="00893250" w:rsidRDefault="00893250" w:rsidP="0067388B">
            <w:pPr>
              <w:rPr>
                <w:szCs w:val="24"/>
                <w:lang w:eastAsia="en-US"/>
              </w:rPr>
            </w:pPr>
          </w:p>
        </w:tc>
        <w:tc>
          <w:tcPr>
            <w:tcW w:w="2891" w:type="dxa"/>
            <w:tcBorders>
              <w:top w:val="single" w:sz="4" w:space="0" w:color="auto"/>
              <w:left w:val="single" w:sz="4" w:space="0" w:color="auto"/>
              <w:right w:val="single" w:sz="4" w:space="0" w:color="auto"/>
            </w:tcBorders>
          </w:tcPr>
          <w:p w14:paraId="0D671B2D" w14:textId="77777777" w:rsidR="00893250" w:rsidRPr="00893250" w:rsidRDefault="00893250" w:rsidP="0067388B">
            <w:pPr>
              <w:jc w:val="both"/>
              <w:rPr>
                <w:bCs/>
                <w:szCs w:val="24"/>
                <w:lang w:eastAsia="en-US"/>
              </w:rPr>
            </w:pPr>
            <w:r w:rsidRPr="00893250">
              <w:rPr>
                <w:szCs w:val="24"/>
                <w:lang w:eastAsia="en-US"/>
              </w:rPr>
              <w:t>2023–2024 mokslo metų (arba 2024 metų) įstaigos pagrindinių veiklos tikslų įgyvendinimas</w:t>
            </w:r>
          </w:p>
        </w:tc>
        <w:tc>
          <w:tcPr>
            <w:tcW w:w="8931" w:type="dxa"/>
            <w:tcBorders>
              <w:top w:val="single" w:sz="4" w:space="0" w:color="auto"/>
              <w:left w:val="single" w:sz="4" w:space="0" w:color="auto"/>
              <w:right w:val="single" w:sz="4" w:space="0" w:color="auto"/>
            </w:tcBorders>
          </w:tcPr>
          <w:p w14:paraId="478A526E" w14:textId="77777777" w:rsidR="00893250" w:rsidRPr="00893250" w:rsidRDefault="00893250" w:rsidP="0067388B">
            <w:pPr>
              <w:pStyle w:val="Sraopastraipa"/>
              <w:numPr>
                <w:ilvl w:val="0"/>
                <w:numId w:val="11"/>
              </w:numPr>
              <w:tabs>
                <w:tab w:val="left" w:pos="348"/>
              </w:tabs>
              <w:ind w:left="0" w:firstLine="0"/>
              <w:jc w:val="both"/>
            </w:pPr>
            <w:r w:rsidRPr="00893250">
              <w:rPr>
                <w:szCs w:val="24"/>
              </w:rPr>
              <w:t xml:space="preserve">Didesnis dėmesys skiriamas </w:t>
            </w:r>
            <w:r w:rsidRPr="00893250">
              <w:t>kiekvieno mokinio individualios pažangos stebėjimui, nuosekliam rezultatų aptarimui bei rekomendacijų dėl mokymosi kokybės gerinimo rengimui.</w:t>
            </w:r>
          </w:p>
          <w:p w14:paraId="208931EF" w14:textId="77777777" w:rsidR="00893250" w:rsidRPr="00893250" w:rsidRDefault="00893250" w:rsidP="0067388B">
            <w:pPr>
              <w:pStyle w:val="Sraopastraipa"/>
              <w:numPr>
                <w:ilvl w:val="0"/>
                <w:numId w:val="11"/>
              </w:numPr>
              <w:tabs>
                <w:tab w:val="left" w:pos="348"/>
              </w:tabs>
              <w:ind w:left="0" w:firstLine="0"/>
              <w:jc w:val="both"/>
            </w:pPr>
            <w:r w:rsidRPr="00893250">
              <w:t xml:space="preserve">Rengiamasi „Tūkstantmečio mokyklos II“ veiklos plano įgyvendinimui. Skatinamas bendruomenės susitelkimas ir tarpusavio bendradarbiavimas, siekiant „Tūkstantmečio mokyklų II“ programos efektyvaus įgyvendinimo. </w:t>
            </w:r>
          </w:p>
          <w:p w14:paraId="4A4D6DD9" w14:textId="77777777" w:rsidR="00893250" w:rsidRPr="00893250" w:rsidRDefault="00893250" w:rsidP="0067388B">
            <w:pPr>
              <w:pStyle w:val="Sraopastraipa"/>
              <w:numPr>
                <w:ilvl w:val="0"/>
                <w:numId w:val="11"/>
              </w:numPr>
              <w:tabs>
                <w:tab w:val="left" w:pos="348"/>
              </w:tabs>
              <w:ind w:left="0" w:firstLine="0"/>
              <w:jc w:val="both"/>
            </w:pPr>
            <w:r w:rsidRPr="00893250">
              <w:t>Intensyviai ruošiamasi įtraukiojo ugdymo įgyvendinimui, organizuojant mokinių, turinčių SUP, sėkmingą integraciją.</w:t>
            </w:r>
          </w:p>
          <w:p w14:paraId="177BF760" w14:textId="77777777" w:rsidR="00893250" w:rsidRPr="00893250" w:rsidRDefault="00893250" w:rsidP="0067388B">
            <w:pPr>
              <w:pStyle w:val="Sraopastraipa"/>
              <w:numPr>
                <w:ilvl w:val="0"/>
                <w:numId w:val="11"/>
              </w:numPr>
              <w:tabs>
                <w:tab w:val="left" w:pos="348"/>
              </w:tabs>
              <w:ind w:left="0" w:firstLine="0"/>
              <w:jc w:val="both"/>
            </w:pPr>
            <w:r w:rsidRPr="00893250">
              <w:lastRenderedPageBreak/>
              <w:t>Įgyvendinamas atnaujinto ugdymo turinys, stiprinant kolegialų mokytojų bendradarbiavimą.</w:t>
            </w:r>
          </w:p>
        </w:tc>
      </w:tr>
      <w:tr w:rsidR="00893250" w:rsidRPr="00893250" w14:paraId="35DFE430" w14:textId="77777777" w:rsidTr="00893250">
        <w:trPr>
          <w:trHeight w:val="278"/>
        </w:trPr>
        <w:tc>
          <w:tcPr>
            <w:tcW w:w="2666" w:type="dxa"/>
            <w:vMerge w:val="restart"/>
            <w:tcBorders>
              <w:top w:val="single" w:sz="4" w:space="0" w:color="auto"/>
              <w:left w:val="single" w:sz="4" w:space="0" w:color="auto"/>
              <w:right w:val="single" w:sz="4" w:space="0" w:color="auto"/>
            </w:tcBorders>
          </w:tcPr>
          <w:p w14:paraId="383E575C" w14:textId="77777777" w:rsidR="00893250" w:rsidRPr="00893250" w:rsidRDefault="00893250" w:rsidP="0067388B">
            <w:pPr>
              <w:rPr>
                <w:szCs w:val="24"/>
                <w:lang w:eastAsia="en-US"/>
              </w:rPr>
            </w:pPr>
            <w:r w:rsidRPr="00893250">
              <w:rPr>
                <w:szCs w:val="24"/>
                <w:lang w:eastAsia="en-US"/>
              </w:rPr>
              <w:lastRenderedPageBreak/>
              <w:t xml:space="preserve">Formalusis ir neformalusis švietimas bei projektinė veikla </w:t>
            </w:r>
          </w:p>
          <w:p w14:paraId="4AAA3126" w14:textId="77777777" w:rsidR="00893250" w:rsidRPr="00893250" w:rsidRDefault="00893250" w:rsidP="0067388B">
            <w:pPr>
              <w:rPr>
                <w:szCs w:val="24"/>
                <w:lang w:eastAsia="en-US"/>
              </w:rPr>
            </w:pPr>
          </w:p>
          <w:p w14:paraId="7E2C58A4" w14:textId="77777777" w:rsidR="00893250" w:rsidRPr="00893250" w:rsidRDefault="00893250" w:rsidP="0067388B">
            <w:pPr>
              <w:rPr>
                <w:b/>
                <w:bCs/>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0651839E" w14:textId="77777777" w:rsidR="00893250" w:rsidRPr="00893250" w:rsidRDefault="00893250" w:rsidP="0067388B">
            <w:pPr>
              <w:jc w:val="both"/>
              <w:rPr>
                <w:szCs w:val="24"/>
              </w:rPr>
            </w:pPr>
            <w:r w:rsidRPr="00893250">
              <w:rPr>
                <w:szCs w:val="24"/>
              </w:rPr>
              <w:t>2023–2024 ir 2024–2025 mokslo metų ugdymo planų suderinimas ir patvirtinimas</w:t>
            </w:r>
          </w:p>
        </w:tc>
        <w:tc>
          <w:tcPr>
            <w:tcW w:w="8931" w:type="dxa"/>
            <w:tcBorders>
              <w:top w:val="single" w:sz="4" w:space="0" w:color="auto"/>
              <w:left w:val="single" w:sz="4" w:space="0" w:color="auto"/>
              <w:right w:val="single" w:sz="4" w:space="0" w:color="auto"/>
            </w:tcBorders>
          </w:tcPr>
          <w:p w14:paraId="0032F794" w14:textId="77777777" w:rsidR="00893250" w:rsidRPr="00893250" w:rsidRDefault="00893250" w:rsidP="0067388B">
            <w:pPr>
              <w:jc w:val="both"/>
              <w:rPr>
                <w:kern w:val="2"/>
                <w:szCs w:val="24"/>
                <w:lang w:eastAsia="en-US"/>
              </w:rPr>
            </w:pPr>
            <w:r w:rsidRPr="00893250">
              <w:rPr>
                <w:kern w:val="2"/>
                <w:szCs w:val="24"/>
                <w:lang w:eastAsia="en-US"/>
              </w:rPr>
              <w:t xml:space="preserve">2023–2024 mokslo metų pradinio ir pagrindinio ugdymo (pirmos dalies) programų ugdymo planas suderintas 2023 m. rugpjūčio 29 d. Jurbarko rajono savivaldybės administracijos direktoriaus įsakymu Nr. O1-2.1-746, patvirtintas 2023 m. rugpjūčio 31 d. mokyklos direktoriaus įsakymu Nr. V1-261. </w:t>
            </w:r>
          </w:p>
          <w:p w14:paraId="3E509E91" w14:textId="77777777" w:rsidR="00893250" w:rsidRPr="00893250" w:rsidRDefault="00893250" w:rsidP="0067388B">
            <w:pPr>
              <w:jc w:val="both"/>
              <w:rPr>
                <w:szCs w:val="24"/>
              </w:rPr>
            </w:pPr>
            <w:r w:rsidRPr="00893250">
              <w:rPr>
                <w:szCs w:val="24"/>
              </w:rPr>
              <w:t>Jurbarko Vytauto Didžiojo pagrindinės mokyklos 2024–2025 mokslo metų pradinio ir pagrindinio ugdymo programų ugdymo planas suderintas 2024 m. rugpjūčio 29 d. Jurbarko rajono savivaldybės administracijos direktoriaus įsakymu Nr. O1-2.1E-632, patvirtintas 2024 m. rugpjūčio 31 d. mokyklos direktoriaus įsakymu Nr. V1-217.</w:t>
            </w:r>
          </w:p>
        </w:tc>
      </w:tr>
      <w:tr w:rsidR="00893250" w:rsidRPr="00893250" w14:paraId="12E437D2" w14:textId="77777777" w:rsidTr="00893250">
        <w:trPr>
          <w:trHeight w:val="2259"/>
        </w:trPr>
        <w:tc>
          <w:tcPr>
            <w:tcW w:w="2666" w:type="dxa"/>
            <w:vMerge/>
            <w:tcBorders>
              <w:left w:val="single" w:sz="4" w:space="0" w:color="auto"/>
              <w:right w:val="single" w:sz="4" w:space="0" w:color="auto"/>
            </w:tcBorders>
          </w:tcPr>
          <w:p w14:paraId="6941E08C"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1F505645" w14:textId="77777777" w:rsidR="00893250" w:rsidRPr="00893250" w:rsidRDefault="00893250" w:rsidP="0067388B">
            <w:pPr>
              <w:jc w:val="both"/>
              <w:rPr>
                <w:szCs w:val="24"/>
                <w:lang w:eastAsia="en-US"/>
              </w:rPr>
            </w:pPr>
            <w:bookmarkStart w:id="2" w:name="_Hlk196721880"/>
            <w:r w:rsidRPr="00893250">
              <w:rPr>
                <w:szCs w:val="24"/>
                <w:lang w:eastAsia="en-US"/>
              </w:rPr>
              <w:t xml:space="preserve">2023–2024 mokslo metų bendrojo ugdymo planų įgyvendinimas, problemos, sėkmės ir pokyčiai (palyginimas su 2022–2023 mokslo metais) </w:t>
            </w:r>
            <w:bookmarkEnd w:id="2"/>
          </w:p>
        </w:tc>
        <w:tc>
          <w:tcPr>
            <w:tcW w:w="8931" w:type="dxa"/>
            <w:tcBorders>
              <w:left w:val="single" w:sz="4" w:space="0" w:color="auto"/>
              <w:bottom w:val="single" w:sz="4" w:space="0" w:color="auto"/>
              <w:right w:val="single" w:sz="4" w:space="0" w:color="auto"/>
            </w:tcBorders>
          </w:tcPr>
          <w:p w14:paraId="680A4EC2" w14:textId="77777777" w:rsidR="00893250" w:rsidRPr="00893250" w:rsidRDefault="00893250" w:rsidP="0067388B">
            <w:pPr>
              <w:jc w:val="both"/>
            </w:pPr>
            <w:r w:rsidRPr="00893250">
              <w:t>2023–2024 m. m. mokymosi kokybė: 1-ose klasėse 69 proc., 2-ose – 66 proc., 3-ose – 73 proc., 4-ose – 61 proc., 5-ose – 50 proc., 6-ose – 66 proc., 7-ose – 37 proc., 8-ose – 77 proc. Lyginant su 2022–2023 m. m. mokymosi kokybė pagerėjo net penkiose klasėse.</w:t>
            </w:r>
          </w:p>
          <w:p w14:paraId="6E7C636E" w14:textId="77777777" w:rsidR="00893250" w:rsidRPr="00893250" w:rsidRDefault="00893250" w:rsidP="0067388B">
            <w:pPr>
              <w:jc w:val="both"/>
            </w:pPr>
            <w:r w:rsidRPr="00893250">
              <w:t>Visų pradinių klasių mokinių pažangumas 100 proc.</w:t>
            </w:r>
          </w:p>
          <w:p w14:paraId="34FF75F0" w14:textId="77777777" w:rsidR="00893250" w:rsidRPr="00893250" w:rsidRDefault="00893250" w:rsidP="0067388B">
            <w:pPr>
              <w:jc w:val="both"/>
            </w:pPr>
            <w:r w:rsidRPr="00893250">
              <w:t xml:space="preserve">Lyginant 2022–2023 m. m. ir 2023–2024 m. m. pažangumo rezultatus, pažangumas visose klasėse išliko 100 proc., išskyrus 6-as klases (95 proc.). </w:t>
            </w:r>
          </w:p>
          <w:p w14:paraId="475C3F25" w14:textId="77777777" w:rsidR="00893250" w:rsidRPr="00893250" w:rsidRDefault="00893250" w:rsidP="0067388B">
            <w:pPr>
              <w:jc w:val="both"/>
            </w:pPr>
            <w:r w:rsidRPr="00893250">
              <w:t>Pagrindinio ugdymo programos pirmą dalį baigė 36 mokiniai.</w:t>
            </w:r>
          </w:p>
          <w:p w14:paraId="38EF48CE" w14:textId="77777777" w:rsidR="00893250" w:rsidRPr="00893250" w:rsidRDefault="00893250" w:rsidP="0067388B">
            <w:pPr>
              <w:spacing w:line="259" w:lineRule="auto"/>
              <w:jc w:val="both"/>
              <w:rPr>
                <w:rFonts w:eastAsia="Calibri"/>
                <w:szCs w:val="24"/>
                <w:lang w:eastAsia="en-US"/>
              </w:rPr>
            </w:pPr>
            <w:r w:rsidRPr="00893250">
              <w:rPr>
                <w:rFonts w:eastAsia="Calibri"/>
                <w:szCs w:val="24"/>
                <w:lang w:eastAsia="en-US"/>
              </w:rPr>
              <w:t xml:space="preserve">Mokiniams buvo teikiama mokymosi pagalba – individualios ir grupinės konsultacijos, mokinio padėjėjo pagalba. Įvertinus mokinių poreikius 1 klasėje papildomai 1 savaitinė pamoka buvo skirta lietuvių kalbai mokyti, sudarant 2 grupes. Visose pradinėse klasėse įvestas informatikos mokymas, 0,5 pamokos skiriama doriniam ugdymui evangelikų liuteronų tikybai mokyti. Tęsiamas anglų kalbos pagilintas mokymas nuo 5-tos klasės. 5–8 klasėse po 1 savaitinę pamoką buvo skirta lietuvių kalbai ir matematikai mokyti, sudarant 2 grupes. 6 ir 8 klasėse viena savaitinė pamoka papildomai buvo skirta matematikai mokyti. </w:t>
            </w:r>
          </w:p>
          <w:p w14:paraId="4EC8E2EC" w14:textId="77777777" w:rsidR="00893250" w:rsidRPr="00893250" w:rsidRDefault="00893250" w:rsidP="0067388B">
            <w:pPr>
              <w:jc w:val="both"/>
              <w:rPr>
                <w:b/>
                <w:bCs/>
              </w:rPr>
            </w:pPr>
            <w:r w:rsidRPr="00893250">
              <w:rPr>
                <w:b/>
                <w:bCs/>
              </w:rPr>
              <w:t xml:space="preserve">Jurbarko Vytauto Didžiojo </w:t>
            </w:r>
            <w:r w:rsidRPr="00893250">
              <w:rPr>
                <w:rFonts w:eastAsia="Calibri"/>
                <w:b/>
                <w:bCs/>
                <w:szCs w:val="24"/>
                <w:lang w:eastAsia="en-US"/>
              </w:rPr>
              <w:t xml:space="preserve">pagrindinės mokyklos </w:t>
            </w:r>
            <w:proofErr w:type="spellStart"/>
            <w:r w:rsidRPr="00893250">
              <w:rPr>
                <w:b/>
                <w:bCs/>
              </w:rPr>
              <w:t>Smalininkų</w:t>
            </w:r>
            <w:proofErr w:type="spellEnd"/>
            <w:r w:rsidRPr="00893250">
              <w:rPr>
                <w:b/>
                <w:bCs/>
              </w:rPr>
              <w:t xml:space="preserve"> Lidijos </w:t>
            </w:r>
            <w:proofErr w:type="spellStart"/>
            <w:r w:rsidRPr="00893250">
              <w:rPr>
                <w:b/>
                <w:bCs/>
              </w:rPr>
              <w:t>Meškaitytės</w:t>
            </w:r>
            <w:proofErr w:type="spellEnd"/>
            <w:r w:rsidRPr="00893250">
              <w:rPr>
                <w:b/>
                <w:bCs/>
              </w:rPr>
              <w:t xml:space="preserve"> skyrius</w:t>
            </w:r>
          </w:p>
          <w:p w14:paraId="0BB65AA5" w14:textId="77777777" w:rsidR="00893250" w:rsidRPr="00893250" w:rsidRDefault="00893250" w:rsidP="0067388B">
            <w:pPr>
              <w:jc w:val="both"/>
            </w:pPr>
            <w:r w:rsidRPr="00893250">
              <w:t>Mokymosi kokybė: 2022–2023 m. m. 1–4 klasių: aukštesniuoju lygiu – 23,3 %, pagrindiniu lygiu – 33,3 %, patenkinamu lygiu – 43,4 %; 5–10 klasių – 34,4 %.</w:t>
            </w:r>
          </w:p>
          <w:p w14:paraId="6DC0166C" w14:textId="77777777" w:rsidR="00893250" w:rsidRPr="00893250" w:rsidRDefault="00893250" w:rsidP="0067388B">
            <w:pPr>
              <w:jc w:val="both"/>
            </w:pPr>
            <w:r w:rsidRPr="00893250">
              <w:t>2023–2024 m. m. 1–4 klasių: aukštesniuoju lygiu – 20,0 %, pagrindiniu lygiu – 50,0 %, patenkinamu lygiu – 30,0 %; 5–10 klasių – 31,9 %.</w:t>
            </w:r>
          </w:p>
          <w:p w14:paraId="7D292D0F" w14:textId="77777777" w:rsidR="00893250" w:rsidRPr="00893250" w:rsidRDefault="00893250" w:rsidP="0067388B">
            <w:pPr>
              <w:jc w:val="both"/>
            </w:pPr>
            <w:r w:rsidRPr="00893250">
              <w:lastRenderedPageBreak/>
              <w:t xml:space="preserve">Lyginant 2022–2023 m. m. su 2023–2024 m. m. pradinių klasių mokinių, besimokančių pagrindiniu lygiu skaičius padidėjo, sumažėjo patenkinamu lygiu besimokančiųjų skaičius. 5–10 kl. mokinių mokymosi kokybė sumažėjo. </w:t>
            </w:r>
          </w:p>
          <w:p w14:paraId="2FB29428" w14:textId="77777777" w:rsidR="00893250" w:rsidRPr="00893250" w:rsidRDefault="00893250" w:rsidP="0067388B">
            <w:pPr>
              <w:jc w:val="both"/>
            </w:pPr>
            <w:r w:rsidRPr="00893250">
              <w:t xml:space="preserve">Pažangumas: </w:t>
            </w:r>
          </w:p>
          <w:p w14:paraId="70EA982C" w14:textId="77777777" w:rsidR="00893250" w:rsidRPr="00893250" w:rsidRDefault="00893250" w:rsidP="0067388B">
            <w:pPr>
              <w:jc w:val="both"/>
            </w:pPr>
            <w:r w:rsidRPr="00893250">
              <w:t xml:space="preserve">2022–2023 m. m. 1–4 klasių – 100 %; 5–10 klasių – 89,2 %. </w:t>
            </w:r>
          </w:p>
          <w:p w14:paraId="72DCC16C" w14:textId="77777777" w:rsidR="00893250" w:rsidRPr="00893250" w:rsidRDefault="00893250" w:rsidP="0067388B">
            <w:pPr>
              <w:jc w:val="both"/>
            </w:pPr>
            <w:r w:rsidRPr="00893250">
              <w:t xml:space="preserve">2023–2024 m. m. 1–4 klasių – 100 %; 5–10 klasių – 91,3 %. 5, 6, 7, 10 kl. pažangumas – 100 %, 8 kl. – 84,6 %, 9 kl. – 60 %. </w:t>
            </w:r>
          </w:p>
          <w:p w14:paraId="19F54CBD" w14:textId="77777777" w:rsidR="00893250" w:rsidRPr="00893250" w:rsidRDefault="00893250" w:rsidP="0067388B">
            <w:pPr>
              <w:jc w:val="both"/>
            </w:pPr>
            <w:r w:rsidRPr="00893250">
              <w:t>Pagrindinio ugdymo programą baigė 17 mokinių.</w:t>
            </w:r>
          </w:p>
          <w:p w14:paraId="728DB5EA" w14:textId="77777777" w:rsidR="00893250" w:rsidRPr="00893250" w:rsidRDefault="00893250" w:rsidP="0067388B">
            <w:pPr>
              <w:jc w:val="both"/>
            </w:pPr>
            <w:r w:rsidRPr="00893250">
              <w:t>Bendras mokyklos pažangumas: 2022–2023 m. m. – 94,6 %, 2023–2024 m. m. – 95,7 %.</w:t>
            </w:r>
          </w:p>
          <w:p w14:paraId="4188C83F" w14:textId="77777777" w:rsidR="00893250" w:rsidRPr="00893250" w:rsidRDefault="00893250" w:rsidP="0067388B">
            <w:pPr>
              <w:spacing w:line="256" w:lineRule="auto"/>
              <w:jc w:val="both"/>
              <w:rPr>
                <w:szCs w:val="24"/>
              </w:rPr>
            </w:pPr>
            <w:r w:rsidRPr="00893250">
              <w:rPr>
                <w:szCs w:val="24"/>
              </w:rPr>
              <w:t>Mokinių ugdymo(</w:t>
            </w:r>
            <w:proofErr w:type="spellStart"/>
            <w:r w:rsidRPr="00893250">
              <w:rPr>
                <w:szCs w:val="24"/>
              </w:rPr>
              <w:t>si</w:t>
            </w:r>
            <w:proofErr w:type="spellEnd"/>
            <w:r w:rsidRPr="00893250">
              <w:rPr>
                <w:szCs w:val="24"/>
              </w:rPr>
              <w:t xml:space="preserve">) rezultatai, lyginant 2023–2024 m. m. ir 2022–2023 m. m., pagerėjo. </w:t>
            </w:r>
          </w:p>
          <w:p w14:paraId="3776E4A4" w14:textId="77777777" w:rsidR="00893250" w:rsidRPr="00893250" w:rsidRDefault="00893250" w:rsidP="0067388B">
            <w:pPr>
              <w:jc w:val="both"/>
              <w:rPr>
                <w:rFonts w:eastAsia="Calibri"/>
                <w:b/>
                <w:bCs/>
                <w:szCs w:val="24"/>
                <w:lang w:eastAsia="en-US"/>
              </w:rPr>
            </w:pPr>
            <w:r w:rsidRPr="00893250">
              <w:rPr>
                <w:rFonts w:eastAsia="Calibri"/>
                <w:b/>
                <w:bCs/>
                <w:szCs w:val="24"/>
                <w:lang w:eastAsia="en-US"/>
              </w:rPr>
              <w:t>Jurbarko Vytauto Didžiojo pagrindinės mokyklos Viešvilės skyrius</w:t>
            </w:r>
          </w:p>
          <w:p w14:paraId="672E338E" w14:textId="77777777" w:rsidR="00893250" w:rsidRPr="00893250" w:rsidRDefault="00893250" w:rsidP="0067388B">
            <w:pPr>
              <w:jc w:val="both"/>
              <w:rPr>
                <w:rFonts w:eastAsia="Calibri"/>
                <w:szCs w:val="24"/>
              </w:rPr>
            </w:pPr>
            <w:r w:rsidRPr="00893250">
              <w:rPr>
                <w:rFonts w:eastAsia="Calibri"/>
                <w:szCs w:val="24"/>
              </w:rPr>
              <w:t xml:space="preserve">Mokymosi kokybė: </w:t>
            </w:r>
          </w:p>
          <w:p w14:paraId="727CAF77" w14:textId="77777777" w:rsidR="00893250" w:rsidRPr="00893250" w:rsidRDefault="00893250" w:rsidP="0067388B">
            <w:pPr>
              <w:jc w:val="both"/>
              <w:rPr>
                <w:rFonts w:eastAsia="Calibri"/>
                <w:szCs w:val="24"/>
              </w:rPr>
            </w:pPr>
            <w:r w:rsidRPr="00893250">
              <w:rPr>
                <w:rFonts w:eastAsia="Calibri"/>
                <w:szCs w:val="24"/>
              </w:rPr>
              <w:t>2022–2023 m. m 1–4 klasių: aukštesniuoju lygiu – 13 %, pagrindiniu lygiu – 35 %, patenkinamu lygiu – 48 %; 5–10 klasių – 36 %.</w:t>
            </w:r>
          </w:p>
          <w:p w14:paraId="3464631D" w14:textId="77777777" w:rsidR="00893250" w:rsidRPr="00893250" w:rsidRDefault="00893250" w:rsidP="0067388B">
            <w:pPr>
              <w:jc w:val="both"/>
              <w:rPr>
                <w:rFonts w:eastAsia="Calibri"/>
                <w:szCs w:val="24"/>
              </w:rPr>
            </w:pPr>
            <w:r w:rsidRPr="00893250">
              <w:rPr>
                <w:rFonts w:eastAsia="Calibri"/>
                <w:szCs w:val="24"/>
              </w:rPr>
              <w:t>2023–2024 m. m. 1–4 klasių: aukštesniuoju lygiu – 18 %, pagrindiniu lygiu – 35 %, patenkinamu lygiu – 47 %; 5–10 klasių – 32 %.</w:t>
            </w:r>
          </w:p>
          <w:p w14:paraId="0A3B252F" w14:textId="77777777" w:rsidR="00893250" w:rsidRPr="00893250" w:rsidRDefault="00893250" w:rsidP="0067388B">
            <w:pPr>
              <w:jc w:val="both"/>
              <w:rPr>
                <w:rFonts w:eastAsia="Calibri"/>
                <w:szCs w:val="24"/>
              </w:rPr>
            </w:pPr>
            <w:r w:rsidRPr="00893250">
              <w:rPr>
                <w:rFonts w:eastAsia="Calibri"/>
                <w:szCs w:val="24"/>
              </w:rPr>
              <w:t xml:space="preserve">Lyginant 2022–2023 m. m. su 2023–2024 m. m. pradinių klasių mokinių, besimokančių aukštesniuoju lygiu padidėjo skaičius, pagrindiniu lygiu skaičius liko toks pat, nežymiai sumažėjo patenkinamu lygiu besimokančiųjų skaičius. 5–10 kl. mokinių mokymosi kokybė šiek tiek sumažėjo. </w:t>
            </w:r>
          </w:p>
          <w:p w14:paraId="1A0E20CB" w14:textId="77777777" w:rsidR="00893250" w:rsidRPr="00893250" w:rsidRDefault="00893250" w:rsidP="0067388B">
            <w:pPr>
              <w:jc w:val="both"/>
              <w:rPr>
                <w:rFonts w:eastAsia="Calibri"/>
                <w:szCs w:val="24"/>
              </w:rPr>
            </w:pPr>
            <w:r w:rsidRPr="00893250">
              <w:rPr>
                <w:rFonts w:eastAsia="Calibri"/>
                <w:szCs w:val="24"/>
              </w:rPr>
              <w:t xml:space="preserve">Pažangumas: </w:t>
            </w:r>
          </w:p>
          <w:p w14:paraId="2B0CBF60" w14:textId="77777777" w:rsidR="00893250" w:rsidRPr="00893250" w:rsidRDefault="00893250" w:rsidP="0067388B">
            <w:pPr>
              <w:jc w:val="both"/>
              <w:rPr>
                <w:rFonts w:eastAsia="Calibri"/>
                <w:szCs w:val="24"/>
              </w:rPr>
            </w:pPr>
            <w:r w:rsidRPr="00893250">
              <w:rPr>
                <w:rFonts w:eastAsia="Calibri"/>
                <w:szCs w:val="24"/>
              </w:rPr>
              <w:t xml:space="preserve">2022–2023 m. m. 1–4 klasių – 100 %; 5–8 klasių  – 100 %. </w:t>
            </w:r>
          </w:p>
          <w:p w14:paraId="23167F1F" w14:textId="77777777" w:rsidR="00893250" w:rsidRPr="00893250" w:rsidRDefault="00893250" w:rsidP="0067388B">
            <w:pPr>
              <w:jc w:val="both"/>
              <w:rPr>
                <w:rFonts w:eastAsia="Calibri"/>
                <w:szCs w:val="24"/>
              </w:rPr>
            </w:pPr>
            <w:r w:rsidRPr="00893250">
              <w:rPr>
                <w:rFonts w:eastAsia="Calibri"/>
                <w:szCs w:val="24"/>
              </w:rPr>
              <w:t xml:space="preserve">2023–2024 m. m. 1–4 klasių – 100 %; 5–9 klasių  – 100 %. </w:t>
            </w:r>
          </w:p>
          <w:p w14:paraId="31179969" w14:textId="77777777" w:rsidR="00893250" w:rsidRPr="00893250" w:rsidRDefault="00893250" w:rsidP="0067388B">
            <w:pPr>
              <w:jc w:val="both"/>
              <w:rPr>
                <w:rFonts w:eastAsia="Calibri"/>
                <w:szCs w:val="24"/>
              </w:rPr>
            </w:pPr>
            <w:r w:rsidRPr="00893250">
              <w:rPr>
                <w:rFonts w:eastAsia="Calibri"/>
                <w:szCs w:val="24"/>
              </w:rPr>
              <w:t>Pagrindinio ugdymo programą baigė 9 mokiniai.</w:t>
            </w:r>
          </w:p>
          <w:p w14:paraId="7165201E" w14:textId="77777777" w:rsidR="00893250" w:rsidRPr="00893250" w:rsidRDefault="00893250" w:rsidP="0067388B">
            <w:pPr>
              <w:jc w:val="both"/>
              <w:rPr>
                <w:rFonts w:eastAsia="Calibri"/>
                <w:szCs w:val="24"/>
              </w:rPr>
            </w:pPr>
            <w:r w:rsidRPr="00893250">
              <w:rPr>
                <w:rFonts w:eastAsia="Calibri"/>
                <w:szCs w:val="24"/>
              </w:rPr>
              <w:t>Bendras mokyklos pažangumas:</w:t>
            </w:r>
          </w:p>
          <w:p w14:paraId="4F8E09F8" w14:textId="77777777" w:rsidR="00893250" w:rsidRPr="00893250" w:rsidRDefault="00893250" w:rsidP="0067388B">
            <w:pPr>
              <w:jc w:val="both"/>
              <w:rPr>
                <w:rFonts w:eastAsia="Calibri"/>
                <w:szCs w:val="24"/>
              </w:rPr>
            </w:pPr>
            <w:r w:rsidRPr="00893250">
              <w:rPr>
                <w:rFonts w:eastAsia="Calibri"/>
                <w:szCs w:val="24"/>
              </w:rPr>
              <w:t>2022–2023 m. m. – 100 %</w:t>
            </w:r>
          </w:p>
          <w:p w14:paraId="17215EAA" w14:textId="77777777" w:rsidR="00893250" w:rsidRPr="00893250" w:rsidRDefault="00893250" w:rsidP="0067388B">
            <w:pPr>
              <w:jc w:val="both"/>
              <w:rPr>
                <w:rFonts w:eastAsia="Calibri"/>
                <w:szCs w:val="24"/>
              </w:rPr>
            </w:pPr>
            <w:r w:rsidRPr="00893250">
              <w:rPr>
                <w:rFonts w:eastAsia="Calibri"/>
                <w:szCs w:val="24"/>
              </w:rPr>
              <w:t>2023–2024 m. m. – 100 %</w:t>
            </w:r>
          </w:p>
          <w:p w14:paraId="763964FD" w14:textId="77777777" w:rsidR="00893250" w:rsidRPr="00893250" w:rsidRDefault="00893250" w:rsidP="0067388B">
            <w:pPr>
              <w:spacing w:line="252" w:lineRule="auto"/>
              <w:jc w:val="both"/>
              <w:rPr>
                <w:rFonts w:eastAsia="Calibri"/>
                <w:szCs w:val="24"/>
              </w:rPr>
            </w:pPr>
            <w:r w:rsidRPr="00893250">
              <w:rPr>
                <w:rFonts w:eastAsia="Calibri"/>
                <w:szCs w:val="24"/>
              </w:rPr>
              <w:t>Mokinių ugdymo(</w:t>
            </w:r>
            <w:proofErr w:type="spellStart"/>
            <w:r w:rsidRPr="00893250">
              <w:rPr>
                <w:rFonts w:eastAsia="Calibri"/>
                <w:szCs w:val="24"/>
              </w:rPr>
              <w:t>si</w:t>
            </w:r>
            <w:proofErr w:type="spellEnd"/>
            <w:r w:rsidRPr="00893250">
              <w:rPr>
                <w:rFonts w:eastAsia="Calibri"/>
                <w:szCs w:val="24"/>
              </w:rPr>
              <w:t>) rezultatai, lyginant 2023–2024 m. m. ir 2022–2023 m. m., liko tokie patys.</w:t>
            </w:r>
          </w:p>
        </w:tc>
      </w:tr>
      <w:tr w:rsidR="00893250" w:rsidRPr="00893250" w14:paraId="424E5495" w14:textId="77777777" w:rsidTr="00893250">
        <w:trPr>
          <w:trHeight w:val="184"/>
        </w:trPr>
        <w:tc>
          <w:tcPr>
            <w:tcW w:w="2666" w:type="dxa"/>
            <w:vMerge/>
            <w:tcBorders>
              <w:left w:val="single" w:sz="4" w:space="0" w:color="auto"/>
              <w:right w:val="single" w:sz="4" w:space="0" w:color="auto"/>
            </w:tcBorders>
          </w:tcPr>
          <w:p w14:paraId="583E3B25"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666FDBB2" w14:textId="77777777" w:rsidR="00893250" w:rsidRPr="00893250" w:rsidRDefault="00893250" w:rsidP="0067388B">
            <w:pPr>
              <w:jc w:val="both"/>
              <w:rPr>
                <w:szCs w:val="24"/>
                <w:lang w:eastAsia="en-US"/>
              </w:rPr>
            </w:pPr>
            <w:r w:rsidRPr="00893250">
              <w:rPr>
                <w:szCs w:val="24"/>
                <w:lang w:eastAsia="en-US"/>
              </w:rPr>
              <w:t xml:space="preserve">2024 m. pagrindinio ugdymo pasiekimų patikrinimo ir brandos egzaminų rezultatai bei </w:t>
            </w:r>
            <w:r w:rsidRPr="00893250">
              <w:rPr>
                <w:szCs w:val="24"/>
                <w:lang w:eastAsia="en-US"/>
              </w:rPr>
              <w:lastRenderedPageBreak/>
              <w:t xml:space="preserve">palyginimas su savivaldybės ir šalies rezultatais (vidurkiais) </w:t>
            </w:r>
          </w:p>
        </w:tc>
        <w:tc>
          <w:tcPr>
            <w:tcW w:w="8931" w:type="dxa"/>
            <w:tcBorders>
              <w:top w:val="single" w:sz="4" w:space="0" w:color="auto"/>
              <w:left w:val="single" w:sz="4" w:space="0" w:color="auto"/>
              <w:bottom w:val="single" w:sz="4" w:space="0" w:color="auto"/>
              <w:right w:val="single" w:sz="4" w:space="0" w:color="auto"/>
            </w:tcBorders>
          </w:tcPr>
          <w:p w14:paraId="6C4C3306" w14:textId="77777777" w:rsidR="00893250" w:rsidRPr="00893250" w:rsidRDefault="00893250" w:rsidP="0067388B">
            <w:pPr>
              <w:jc w:val="both"/>
              <w:rPr>
                <w:szCs w:val="24"/>
                <w:highlight w:val="yellow"/>
              </w:rPr>
            </w:pPr>
            <w:r w:rsidRPr="00893250">
              <w:rPr>
                <w:szCs w:val="24"/>
              </w:rPr>
              <w:lastRenderedPageBreak/>
              <w:t xml:space="preserve">Jurbarko Vytauto Didžiojo pagrindinės mokyklos </w:t>
            </w:r>
            <w:proofErr w:type="spellStart"/>
            <w:r w:rsidRPr="00893250">
              <w:rPr>
                <w:szCs w:val="24"/>
              </w:rPr>
              <w:t>Smalininkų</w:t>
            </w:r>
            <w:proofErr w:type="spellEnd"/>
            <w:r w:rsidRPr="00893250">
              <w:rPr>
                <w:szCs w:val="24"/>
              </w:rPr>
              <w:t xml:space="preserve"> Lidijos </w:t>
            </w:r>
            <w:proofErr w:type="spellStart"/>
            <w:r w:rsidRPr="00893250">
              <w:rPr>
                <w:szCs w:val="24"/>
              </w:rPr>
              <w:t>Meškaitytės</w:t>
            </w:r>
            <w:proofErr w:type="spellEnd"/>
            <w:r w:rsidRPr="00893250">
              <w:rPr>
                <w:szCs w:val="24"/>
              </w:rPr>
              <w:t xml:space="preserve"> skyriuje 2024 m. pagrindinio ugdymo pasiekimų patikrinime dalyvavo 13 10-tos klasės mokinių. Rezultatai ypatingai žemi. Matematikos rezultatai: 12 mokinių gavo nepatenkinamus </w:t>
            </w:r>
            <w:r w:rsidRPr="00893250">
              <w:rPr>
                <w:szCs w:val="24"/>
              </w:rPr>
              <w:lastRenderedPageBreak/>
              <w:t>įvertinimus, išlaikė 1 mok. (7,7 proc.). Lietuvių k. ir literatūros nepatenkinamus įvertinimus gavo 5 mokiniai, išlaikiusių mokinių – 8 (61,5 proc.).</w:t>
            </w:r>
          </w:p>
        </w:tc>
      </w:tr>
      <w:tr w:rsidR="00893250" w:rsidRPr="00893250" w14:paraId="040B3A15" w14:textId="77777777" w:rsidTr="00893250">
        <w:trPr>
          <w:trHeight w:val="184"/>
        </w:trPr>
        <w:tc>
          <w:tcPr>
            <w:tcW w:w="2666" w:type="dxa"/>
            <w:vMerge/>
            <w:tcBorders>
              <w:left w:val="single" w:sz="4" w:space="0" w:color="auto"/>
              <w:right w:val="single" w:sz="4" w:space="0" w:color="auto"/>
            </w:tcBorders>
          </w:tcPr>
          <w:p w14:paraId="520FA514"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3D3CDF03" w14:textId="77777777" w:rsidR="00893250" w:rsidRPr="00893250" w:rsidRDefault="00893250" w:rsidP="0067388B">
            <w:pPr>
              <w:jc w:val="both"/>
              <w:rPr>
                <w:szCs w:val="24"/>
                <w:lang w:eastAsia="en-US"/>
              </w:rPr>
            </w:pPr>
            <w:r w:rsidRPr="00893250">
              <w:rPr>
                <w:szCs w:val="24"/>
                <w:lang w:eastAsia="en-US"/>
              </w:rPr>
              <w:t xml:space="preserve">Įstaigos dalyvavimas tyrimuose, projektuose ir programose, gautų įvertinimų analizė bei rezultatų gerinimo darbai  </w:t>
            </w:r>
          </w:p>
        </w:tc>
        <w:tc>
          <w:tcPr>
            <w:tcW w:w="8931" w:type="dxa"/>
            <w:tcBorders>
              <w:top w:val="single" w:sz="4" w:space="0" w:color="auto"/>
              <w:left w:val="single" w:sz="4" w:space="0" w:color="auto"/>
              <w:bottom w:val="single" w:sz="4" w:space="0" w:color="auto"/>
              <w:right w:val="single" w:sz="4" w:space="0" w:color="auto"/>
            </w:tcBorders>
          </w:tcPr>
          <w:p w14:paraId="63443B66" w14:textId="77777777" w:rsidR="00893250" w:rsidRPr="00893250" w:rsidRDefault="00893250" w:rsidP="0067388B">
            <w:pPr>
              <w:jc w:val="both"/>
              <w:rPr>
                <w:szCs w:val="24"/>
              </w:rPr>
            </w:pPr>
            <w:r w:rsidRPr="00893250">
              <w:rPr>
                <w:szCs w:val="24"/>
              </w:rPr>
              <w:t xml:space="preserve">2023–2024 m. m. viena 4-okų klasė buvo atrinkta ir dalyvavo Tarptautiniame Matematikos ir gamtos mokslų gebėjimų tyrime, kurio tikslas suteikti informacijos, kaip kinta mokinių matematikos ir gamtos mokslų žinios. Gauti rezultatai panaudojami matematikos ir gamtos mokslų turinio diferencijavimui. </w:t>
            </w:r>
          </w:p>
          <w:p w14:paraId="4BA79291" w14:textId="77777777" w:rsidR="00893250" w:rsidRPr="00893250" w:rsidRDefault="00893250" w:rsidP="0067388B">
            <w:pPr>
              <w:jc w:val="both"/>
              <w:rPr>
                <w:i/>
                <w:iCs/>
                <w:szCs w:val="24"/>
              </w:rPr>
            </w:pPr>
            <w:r w:rsidRPr="00893250">
              <w:rPr>
                <w:i/>
                <w:iCs/>
                <w:szCs w:val="24"/>
              </w:rPr>
              <w:t xml:space="preserve">2024 m. NMPP 4 klasės rezultatai. </w:t>
            </w:r>
          </w:p>
          <w:p w14:paraId="76AEAEB2" w14:textId="77777777" w:rsidR="00893250" w:rsidRPr="00893250" w:rsidRDefault="00893250" w:rsidP="0067388B">
            <w:pPr>
              <w:jc w:val="both"/>
              <w:rPr>
                <w:szCs w:val="24"/>
              </w:rPr>
            </w:pPr>
            <w:r w:rsidRPr="00893250">
              <w:rPr>
                <w:b/>
                <w:bCs/>
                <w:szCs w:val="24"/>
              </w:rPr>
              <w:t>Vytauto Didžiojo pagrindinė mokykla.</w:t>
            </w:r>
            <w:r w:rsidRPr="00893250">
              <w:rPr>
                <w:szCs w:val="24"/>
              </w:rPr>
              <w:t xml:space="preserve"> Skaitymo patikrinime dalyvavo 26 mokiniai, 100 proc. mokinių pasiekė pagrindinį pasiekimų lygį, procentinis vidurkis – 51,1 proc. Matematikos patikrinime dalyvavo 28 mokiniai, pagrindinį ir aukštesnį pasiekimų lygį pasiekė 82,2 proc. mokinių, 14,3 proc. – patenkinamą pasiekimų lygį, 1 mokinys nepasiekė patenkinamo pasiekimų lygio, procentinis vidurkis – 55,5 proc.</w:t>
            </w:r>
          </w:p>
          <w:p w14:paraId="2670E3B1" w14:textId="77777777" w:rsidR="00893250" w:rsidRPr="00893250" w:rsidRDefault="00893250" w:rsidP="0067388B">
            <w:pPr>
              <w:jc w:val="both"/>
              <w:rPr>
                <w:szCs w:val="24"/>
              </w:rPr>
            </w:pPr>
            <w:r w:rsidRPr="00893250">
              <w:rPr>
                <w:b/>
                <w:bCs/>
                <w:szCs w:val="24"/>
              </w:rPr>
              <w:t>Viešvilės skyrius.</w:t>
            </w:r>
            <w:r w:rsidRPr="00893250">
              <w:rPr>
                <w:szCs w:val="24"/>
              </w:rPr>
              <w:t xml:space="preserve"> Skaitymo patikrinime dalyvavo 4 mokiniai, 100 proc. mokinių pasiekė pagrindinį pasiekimų lygį, procentinis vidurkis – 51,7 proc. Matematikos patikrinime dalyvavo 4 mokiniai, 50,0 proc. pasiekė pagrindinį pasiekimų lygį, 50,0 proc. – patenkinamą pasiekimų lygį, procentinis vidurkis – 51,4 proc.</w:t>
            </w:r>
          </w:p>
          <w:p w14:paraId="53DBCF0C" w14:textId="77777777" w:rsidR="00893250" w:rsidRPr="00893250" w:rsidRDefault="00893250" w:rsidP="0067388B">
            <w:pPr>
              <w:jc w:val="both"/>
              <w:rPr>
                <w:szCs w:val="24"/>
              </w:rPr>
            </w:pPr>
            <w:proofErr w:type="spellStart"/>
            <w:r w:rsidRPr="00893250">
              <w:rPr>
                <w:b/>
                <w:bCs/>
                <w:szCs w:val="24"/>
              </w:rPr>
              <w:t>Smalininkų</w:t>
            </w:r>
            <w:proofErr w:type="spellEnd"/>
            <w:r w:rsidRPr="00893250">
              <w:rPr>
                <w:b/>
                <w:bCs/>
                <w:szCs w:val="24"/>
              </w:rPr>
              <w:t xml:space="preserve"> Lidijos </w:t>
            </w:r>
            <w:proofErr w:type="spellStart"/>
            <w:r w:rsidRPr="00893250">
              <w:rPr>
                <w:b/>
                <w:bCs/>
                <w:szCs w:val="24"/>
              </w:rPr>
              <w:t>Meškaitytės</w:t>
            </w:r>
            <w:proofErr w:type="spellEnd"/>
            <w:r w:rsidRPr="00893250">
              <w:rPr>
                <w:b/>
                <w:bCs/>
                <w:szCs w:val="24"/>
              </w:rPr>
              <w:t xml:space="preserve"> skyrius.</w:t>
            </w:r>
            <w:r w:rsidRPr="00893250">
              <w:rPr>
                <w:szCs w:val="24"/>
              </w:rPr>
              <w:t xml:space="preserve"> Skaitymo patikrinime dalyvavo 3 mokiniai, 66,7 proc. mokinių pasiekė pagrindinį pasiekimų lygį, 33,3 proc. – patenkinamą pasiekimų lygį, procentinis vidurkis – 46,7 proc. Matematikos patikrinime dalyvavo 3 mokiniai, 33,3 proc. pasiekė aukštesnįjį pasiekimų lygį, 2 mokiniai nepasiekė patenkinamo pasiekimų lygio, procentinis vidurkis – 41,7 proc.</w:t>
            </w:r>
          </w:p>
          <w:p w14:paraId="32A2DFB8" w14:textId="77777777" w:rsidR="00893250" w:rsidRPr="00893250" w:rsidRDefault="00893250" w:rsidP="0067388B">
            <w:pPr>
              <w:jc w:val="both"/>
              <w:rPr>
                <w:i/>
                <w:iCs/>
                <w:szCs w:val="24"/>
              </w:rPr>
            </w:pPr>
            <w:r w:rsidRPr="00893250">
              <w:rPr>
                <w:i/>
                <w:iCs/>
                <w:szCs w:val="24"/>
              </w:rPr>
              <w:t xml:space="preserve">2024 m. NMPP 8 klasės rezultatai. </w:t>
            </w:r>
          </w:p>
          <w:p w14:paraId="2D6D5FF3" w14:textId="77777777" w:rsidR="00893250" w:rsidRPr="00893250" w:rsidRDefault="00893250" w:rsidP="0067388B">
            <w:pPr>
              <w:jc w:val="both"/>
              <w:rPr>
                <w:szCs w:val="24"/>
              </w:rPr>
            </w:pPr>
            <w:r w:rsidRPr="00893250">
              <w:rPr>
                <w:b/>
                <w:bCs/>
                <w:szCs w:val="24"/>
              </w:rPr>
              <w:t>Vytauto Didžiojo pagrindinė mokykla.</w:t>
            </w:r>
            <w:r w:rsidRPr="00893250">
              <w:rPr>
                <w:szCs w:val="24"/>
              </w:rPr>
              <w:t xml:space="preserve"> Lietuvių kalbos ir literatūros (skaitymo) patikrinime dalyvavo 31 mokinys, 77,4 proc. mokinių pasiekė pagrindinį ir aukštesnįjį pasiekimų lygį, 22,5 proc. – patenkinamą pasiekimų lygį, procentinis vidurkis – 70,4 proc. Matematikos patikrinime dalyvavo 33 mokiniai, pagrindinį ir aukštesnį pasiekimų lygį pasiekė 33,3 proc. mokinių, 57,6 proc. – patenkinamą pasiekimų lygį, 3 mokiniai nepasiekė patenkinamo pasiekimų lygio, procentinis vidurkis – 35,6 proc.</w:t>
            </w:r>
          </w:p>
          <w:p w14:paraId="5806B967" w14:textId="77777777" w:rsidR="00893250" w:rsidRPr="00893250" w:rsidRDefault="00893250" w:rsidP="0067388B">
            <w:pPr>
              <w:jc w:val="both"/>
              <w:rPr>
                <w:szCs w:val="24"/>
              </w:rPr>
            </w:pPr>
            <w:r w:rsidRPr="00893250">
              <w:rPr>
                <w:b/>
                <w:bCs/>
                <w:szCs w:val="24"/>
              </w:rPr>
              <w:t>Viešvilės skyrius.</w:t>
            </w:r>
            <w:r w:rsidRPr="00893250">
              <w:rPr>
                <w:szCs w:val="24"/>
              </w:rPr>
              <w:t xml:space="preserve"> Lietuvių kalbos ir literatūros (skaitymo) patikrinime dalyvavo 9 mokiniai, 44,4 proc. mokinių pasiekė pagrindinį pasiekimų lygį, 55,6 proc. – patenkinamą pasiekimų lygį, procentinis vidurkis – 61,4 proc. Matematikos patikrinime dalyvavo 9 </w:t>
            </w:r>
            <w:r w:rsidRPr="00893250">
              <w:rPr>
                <w:szCs w:val="24"/>
              </w:rPr>
              <w:lastRenderedPageBreak/>
              <w:t>mokiniai, 55,6 proc. pasiekė patenkinamą pasiekimų lygį, 4 mokiniai nepasiekė patenkinamo pasiekimų lygio, procentinis vidurkis – 21,2 proc.</w:t>
            </w:r>
          </w:p>
          <w:p w14:paraId="1503933D" w14:textId="77777777" w:rsidR="00893250" w:rsidRPr="00893250" w:rsidRDefault="00893250" w:rsidP="0067388B">
            <w:pPr>
              <w:jc w:val="both"/>
              <w:rPr>
                <w:szCs w:val="24"/>
              </w:rPr>
            </w:pPr>
            <w:proofErr w:type="spellStart"/>
            <w:r w:rsidRPr="00893250">
              <w:rPr>
                <w:b/>
                <w:bCs/>
                <w:szCs w:val="24"/>
              </w:rPr>
              <w:t>Smalininkų</w:t>
            </w:r>
            <w:proofErr w:type="spellEnd"/>
            <w:r w:rsidRPr="00893250">
              <w:rPr>
                <w:b/>
                <w:bCs/>
                <w:szCs w:val="24"/>
              </w:rPr>
              <w:t xml:space="preserve"> Lidijos </w:t>
            </w:r>
            <w:proofErr w:type="spellStart"/>
            <w:r w:rsidRPr="00893250">
              <w:rPr>
                <w:b/>
                <w:bCs/>
                <w:szCs w:val="24"/>
              </w:rPr>
              <w:t>Meškaitytės</w:t>
            </w:r>
            <w:proofErr w:type="spellEnd"/>
            <w:r w:rsidRPr="00893250">
              <w:rPr>
                <w:b/>
                <w:bCs/>
                <w:szCs w:val="24"/>
              </w:rPr>
              <w:t xml:space="preserve"> skyrius.</w:t>
            </w:r>
            <w:r w:rsidRPr="00893250">
              <w:rPr>
                <w:szCs w:val="24"/>
              </w:rPr>
              <w:t xml:space="preserve"> Lietuvių kalbos ir literatūros (skaitymo) patikrinime dalyvavo 10 mokinių, 44,4 proc. mokinių pasiekė pagrindinį pasiekimų lygį, 55,6 proc. – patenkinamą pasiekimų lygį, procentinis vidurkis – 56,5 proc. Matematikos patikrinime dalyvavo 11 mokinių, 80,0 proc. pasiekė patenkinamą pasiekimų lygį, 2 mokiniai nepasiekė patenkinamo pasiekimų lygio, procentinis vidurkis – 25,3 proc.</w:t>
            </w:r>
          </w:p>
          <w:p w14:paraId="45345770" w14:textId="77777777" w:rsidR="00893250" w:rsidRPr="00893250" w:rsidRDefault="00893250" w:rsidP="0067388B">
            <w:pPr>
              <w:jc w:val="both"/>
              <w:rPr>
                <w:szCs w:val="24"/>
              </w:rPr>
            </w:pPr>
            <w:r w:rsidRPr="00893250">
              <w:rPr>
                <w:szCs w:val="24"/>
              </w:rPr>
              <w:t xml:space="preserve">4 ir 8 klasės mokiniams, nepasiekus patenkinamo lygio, </w:t>
            </w:r>
            <w:r w:rsidRPr="00893250">
              <w:rPr>
                <w:szCs w:val="24"/>
                <w:lang w:val="fi-FI"/>
              </w:rPr>
              <w:t xml:space="preserve">2024–2025 m. m. </w:t>
            </w:r>
            <w:r w:rsidRPr="00893250">
              <w:rPr>
                <w:szCs w:val="24"/>
              </w:rPr>
              <w:t>buvo skirtos konsultacijos</w:t>
            </w:r>
            <w:r w:rsidRPr="00893250">
              <w:rPr>
                <w:szCs w:val="24"/>
                <w:lang w:val="fi-FI"/>
              </w:rPr>
              <w:t>.</w:t>
            </w:r>
          </w:p>
        </w:tc>
      </w:tr>
      <w:tr w:rsidR="00893250" w:rsidRPr="00893250" w14:paraId="5EBC27F0" w14:textId="77777777" w:rsidTr="00893250">
        <w:trPr>
          <w:trHeight w:val="184"/>
        </w:trPr>
        <w:tc>
          <w:tcPr>
            <w:tcW w:w="2666" w:type="dxa"/>
            <w:vMerge/>
            <w:tcBorders>
              <w:left w:val="single" w:sz="4" w:space="0" w:color="auto"/>
              <w:right w:val="single" w:sz="4" w:space="0" w:color="auto"/>
            </w:tcBorders>
          </w:tcPr>
          <w:p w14:paraId="3DBFFBAA"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09267FE7" w14:textId="77777777" w:rsidR="00893250" w:rsidRPr="00893250" w:rsidRDefault="00893250" w:rsidP="0067388B">
            <w:pPr>
              <w:jc w:val="both"/>
              <w:rPr>
                <w:szCs w:val="24"/>
                <w:lang w:eastAsia="en-US"/>
              </w:rPr>
            </w:pPr>
            <w:r w:rsidRPr="00893250">
              <w:rPr>
                <w:szCs w:val="24"/>
                <w:lang w:eastAsia="en-US"/>
              </w:rPr>
              <w:t>Mokinių (ugdytinių) mokymo(</w:t>
            </w:r>
            <w:proofErr w:type="spellStart"/>
            <w:r w:rsidRPr="00893250">
              <w:rPr>
                <w:szCs w:val="24"/>
                <w:lang w:eastAsia="en-US"/>
              </w:rPr>
              <w:t>si</w:t>
            </w:r>
            <w:proofErr w:type="spellEnd"/>
            <w:r w:rsidRPr="00893250">
              <w:rPr>
                <w:szCs w:val="24"/>
                <w:lang w:eastAsia="en-US"/>
              </w:rPr>
              <w:t>) ir ugdymo(</w:t>
            </w:r>
            <w:proofErr w:type="spellStart"/>
            <w:r w:rsidRPr="00893250">
              <w:rPr>
                <w:szCs w:val="24"/>
                <w:lang w:eastAsia="en-US"/>
              </w:rPr>
              <w:t>si</w:t>
            </w:r>
            <w:proofErr w:type="spellEnd"/>
            <w:r w:rsidRPr="00893250">
              <w:rPr>
                <w:szCs w:val="24"/>
                <w:lang w:eastAsia="en-US"/>
              </w:rPr>
              <w:t>) pasiekimų pažangos stebėsena</w:t>
            </w:r>
          </w:p>
        </w:tc>
        <w:tc>
          <w:tcPr>
            <w:tcW w:w="8931" w:type="dxa"/>
            <w:tcBorders>
              <w:top w:val="single" w:sz="4" w:space="0" w:color="auto"/>
              <w:left w:val="single" w:sz="4" w:space="0" w:color="auto"/>
              <w:bottom w:val="single" w:sz="4" w:space="0" w:color="auto"/>
              <w:right w:val="single" w:sz="4" w:space="0" w:color="auto"/>
            </w:tcBorders>
          </w:tcPr>
          <w:p w14:paraId="25057DE9" w14:textId="77777777" w:rsidR="00893250" w:rsidRPr="00893250" w:rsidRDefault="00893250" w:rsidP="0067388B">
            <w:pPr>
              <w:jc w:val="both"/>
              <w:rPr>
                <w:szCs w:val="24"/>
              </w:rPr>
            </w:pPr>
            <w:r w:rsidRPr="00893250">
              <w:rPr>
                <w:szCs w:val="24"/>
              </w:rPr>
              <w:t>Mokykloje, vadovaujantis parengtu Mokinio individualios pažangos įsivertinimo tvarkos aprašu, nuolat stebima mokinio individuali pažanga ir ugdymosi pasiekimai. Mokinio individualios pažangos įsivertinimu siekiama ugdyti mokinių kritinio mąstymo, savivertės gebėjimus: analizuoti mokymosi veiklą ir rezultatus, dalyvavimą neformaliojo švietimo veikloje, nustatyti sėkmių ir nesėkmių priežastis. Pažangos  rezultatai aptariami individualiai su mokiniu ir jo tėvais. Ne rečiau kaip du kartus per mokslo metus klasių vadovai, pradinių klasių mokytojai organizuoja individualios pažangos aptarimus, kuriuose dalyvauja dalykų mokytojai, pagalbos mokiniui specialistai, administracija. Pastebėjus mokymosi sunkumus, teikiama švietimo pagalba. Mokykloje mokymosi rezultatai vertinami pusmečiais. Pasibaigus pusmečiams vykdoma išsami palyginamoji pasiekimų analizė klasių vadovų, pradinių klasių metodinėse grupėse, numatomos mokymosi rezultatų gerinimo priemonės, pagalba mokiniams, turintiems mokymosi sunkumų.</w:t>
            </w:r>
          </w:p>
        </w:tc>
      </w:tr>
      <w:tr w:rsidR="00893250" w:rsidRPr="00893250" w14:paraId="29F8339E" w14:textId="77777777" w:rsidTr="00893250">
        <w:trPr>
          <w:trHeight w:val="542"/>
        </w:trPr>
        <w:tc>
          <w:tcPr>
            <w:tcW w:w="2666" w:type="dxa"/>
            <w:vMerge/>
            <w:tcBorders>
              <w:left w:val="single" w:sz="4" w:space="0" w:color="auto"/>
              <w:bottom w:val="single" w:sz="4" w:space="0" w:color="auto"/>
              <w:right w:val="single" w:sz="4" w:space="0" w:color="auto"/>
            </w:tcBorders>
          </w:tcPr>
          <w:p w14:paraId="73550949"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20523354" w14:textId="77777777" w:rsidR="00893250" w:rsidRPr="00893250" w:rsidRDefault="00893250" w:rsidP="0067388B">
            <w:pPr>
              <w:jc w:val="both"/>
              <w:rPr>
                <w:szCs w:val="24"/>
                <w:lang w:eastAsia="en-US"/>
              </w:rPr>
            </w:pPr>
            <w:r w:rsidRPr="00893250">
              <w:rPr>
                <w:szCs w:val="24"/>
                <w:lang w:eastAsia="en-US"/>
              </w:rPr>
              <w:t>2024 metų neformaliojo švietimo organizavimas</w:t>
            </w:r>
          </w:p>
        </w:tc>
        <w:tc>
          <w:tcPr>
            <w:tcW w:w="8931" w:type="dxa"/>
            <w:tcBorders>
              <w:top w:val="single" w:sz="4" w:space="0" w:color="auto"/>
              <w:left w:val="single" w:sz="4" w:space="0" w:color="auto"/>
              <w:bottom w:val="single" w:sz="4" w:space="0" w:color="auto"/>
              <w:right w:val="single" w:sz="4" w:space="0" w:color="auto"/>
            </w:tcBorders>
          </w:tcPr>
          <w:p w14:paraId="0C87D018" w14:textId="77777777" w:rsidR="00893250" w:rsidRPr="00893250" w:rsidRDefault="00893250" w:rsidP="0067388B">
            <w:pPr>
              <w:jc w:val="both"/>
              <w:rPr>
                <w:szCs w:val="24"/>
              </w:rPr>
            </w:pPr>
            <w:r w:rsidRPr="00893250">
              <w:rPr>
                <w:szCs w:val="24"/>
              </w:rPr>
              <w:t>2023–2024 m. m. veikė 16 būrelių, lankė 135 mokiniai (71 proc.).</w:t>
            </w:r>
          </w:p>
          <w:p w14:paraId="5146F37F" w14:textId="77777777" w:rsidR="00893250" w:rsidRPr="00893250" w:rsidRDefault="00893250" w:rsidP="0067388B">
            <w:pPr>
              <w:jc w:val="both"/>
              <w:rPr>
                <w:szCs w:val="24"/>
              </w:rPr>
            </w:pPr>
            <w:r w:rsidRPr="00893250">
              <w:rPr>
                <w:szCs w:val="24"/>
              </w:rPr>
              <w:t>2024–2025 m. m. veikia 24 būreliai, lanko 400 mokinių (88,89 proc.).</w:t>
            </w:r>
          </w:p>
        </w:tc>
      </w:tr>
      <w:tr w:rsidR="00893250" w:rsidRPr="00893250" w14:paraId="5A6BD546" w14:textId="77777777" w:rsidTr="00893250">
        <w:trPr>
          <w:trHeight w:val="542"/>
        </w:trPr>
        <w:tc>
          <w:tcPr>
            <w:tcW w:w="2666" w:type="dxa"/>
            <w:tcBorders>
              <w:left w:val="single" w:sz="4" w:space="0" w:color="auto"/>
              <w:bottom w:val="single" w:sz="4" w:space="0" w:color="auto"/>
              <w:right w:val="single" w:sz="4" w:space="0" w:color="auto"/>
            </w:tcBorders>
          </w:tcPr>
          <w:p w14:paraId="31E0FE21" w14:textId="77777777" w:rsidR="00893250" w:rsidRPr="00893250" w:rsidRDefault="00893250" w:rsidP="0067388B">
            <w:pPr>
              <w:rPr>
                <w:szCs w:val="24"/>
                <w:lang w:eastAsia="en-US"/>
              </w:rPr>
            </w:pPr>
            <w:r w:rsidRPr="00893250">
              <w:rPr>
                <w:szCs w:val="24"/>
                <w:lang w:eastAsia="en-US"/>
              </w:rPr>
              <w:t>Patyčių ir smurto prevencija įstaigoje 2024 metais</w:t>
            </w:r>
          </w:p>
        </w:tc>
        <w:tc>
          <w:tcPr>
            <w:tcW w:w="11822" w:type="dxa"/>
            <w:gridSpan w:val="2"/>
            <w:tcBorders>
              <w:top w:val="single" w:sz="4" w:space="0" w:color="auto"/>
              <w:left w:val="single" w:sz="4" w:space="0" w:color="auto"/>
              <w:bottom w:val="single" w:sz="4" w:space="0" w:color="auto"/>
              <w:right w:val="single" w:sz="4" w:space="0" w:color="auto"/>
            </w:tcBorders>
          </w:tcPr>
          <w:p w14:paraId="1F8207A4" w14:textId="77777777" w:rsidR="00893250" w:rsidRPr="00893250" w:rsidRDefault="00893250" w:rsidP="0067388B">
            <w:pPr>
              <w:jc w:val="both"/>
              <w:rPr>
                <w:szCs w:val="24"/>
              </w:rPr>
            </w:pPr>
            <w:r w:rsidRPr="00893250">
              <w:rPr>
                <w:szCs w:val="24"/>
                <w:lang w:eastAsia="en-US"/>
              </w:rPr>
              <w:t>Vykdyta socialinių įgūdžių ugdymo programa „Antras žingsnis“. Mokyklos bendruomenė pasirengusi įgyvendinti Saugios mokyklos prevencinę programą (2024-12-17 dalyvavo mokymuose). Mokykloje ir jos skyriuose atlikta „Patyčių masto įvertinimo“ apklausa. Rezultatai pristatyti mokyklos bendruomenei. Klasių vadovai anketų rezultatus aptarė su tėvais. Numatytas priemonių gerinimo planas.</w:t>
            </w:r>
          </w:p>
        </w:tc>
      </w:tr>
      <w:tr w:rsidR="00893250" w:rsidRPr="00893250" w14:paraId="2DBEBE98" w14:textId="77777777" w:rsidTr="00893250">
        <w:trPr>
          <w:trHeight w:val="542"/>
        </w:trPr>
        <w:tc>
          <w:tcPr>
            <w:tcW w:w="2666" w:type="dxa"/>
            <w:tcBorders>
              <w:left w:val="single" w:sz="4" w:space="0" w:color="auto"/>
              <w:bottom w:val="single" w:sz="4" w:space="0" w:color="auto"/>
              <w:right w:val="single" w:sz="4" w:space="0" w:color="auto"/>
            </w:tcBorders>
          </w:tcPr>
          <w:p w14:paraId="75E1CF32" w14:textId="77777777" w:rsidR="00893250" w:rsidRPr="00893250" w:rsidRDefault="00893250" w:rsidP="0067388B">
            <w:pPr>
              <w:rPr>
                <w:szCs w:val="24"/>
                <w:lang w:eastAsia="en-US"/>
              </w:rPr>
            </w:pPr>
            <w:r w:rsidRPr="00893250">
              <w:rPr>
                <w:szCs w:val="24"/>
                <w:lang w:eastAsia="en-US"/>
              </w:rPr>
              <w:t>Korupcijos prevencija įstaigoje 2024 metais</w:t>
            </w:r>
          </w:p>
        </w:tc>
        <w:tc>
          <w:tcPr>
            <w:tcW w:w="11822" w:type="dxa"/>
            <w:gridSpan w:val="2"/>
            <w:tcBorders>
              <w:top w:val="single" w:sz="4" w:space="0" w:color="auto"/>
              <w:left w:val="single" w:sz="4" w:space="0" w:color="auto"/>
              <w:bottom w:val="single" w:sz="4" w:space="0" w:color="auto"/>
              <w:right w:val="single" w:sz="4" w:space="0" w:color="auto"/>
            </w:tcBorders>
          </w:tcPr>
          <w:p w14:paraId="72D69929" w14:textId="77777777" w:rsidR="00893250" w:rsidRPr="00893250" w:rsidRDefault="00893250" w:rsidP="0067388B">
            <w:pPr>
              <w:jc w:val="both"/>
              <w:rPr>
                <w:szCs w:val="24"/>
              </w:rPr>
            </w:pPr>
            <w:r w:rsidRPr="00893250">
              <w:rPr>
                <w:rFonts w:eastAsia="Calibri"/>
                <w:szCs w:val="24"/>
              </w:rPr>
              <w:t>2023 m. birželio 2 d. direktoriaus įsakymu Nr. V1–224 patvirtinta Korupcijos prevencijos programa ir Korupcijos prevencijos programos 2023–2025 metams įgyvendinimo priemonių planas. Organizuoti renginiai mokykloje ir jos skyriuose antikorupcijos tema. Aktyviai bendraujant su Jurbarko PK bendruomenės pareigūnu, vyko mokinių susitikimai</w:t>
            </w:r>
            <w:r w:rsidRPr="00893250">
              <w:rPr>
                <w:rFonts w:eastAsia="Calibri"/>
                <w:szCs w:val="24"/>
                <w:lang w:eastAsia="en-US"/>
              </w:rPr>
              <w:t>- diskusijos antikorupcijos tema.</w:t>
            </w:r>
            <w:r w:rsidRPr="00893250">
              <w:rPr>
                <w:rFonts w:eastAsia="Calibri"/>
                <w:szCs w:val="24"/>
              </w:rPr>
              <w:t xml:space="preserve">  </w:t>
            </w:r>
          </w:p>
        </w:tc>
      </w:tr>
      <w:tr w:rsidR="00893250" w:rsidRPr="00893250" w14:paraId="6E891673" w14:textId="77777777" w:rsidTr="00893250">
        <w:trPr>
          <w:trHeight w:val="542"/>
        </w:trPr>
        <w:tc>
          <w:tcPr>
            <w:tcW w:w="2666" w:type="dxa"/>
            <w:tcBorders>
              <w:left w:val="single" w:sz="4" w:space="0" w:color="auto"/>
              <w:bottom w:val="single" w:sz="4" w:space="0" w:color="auto"/>
              <w:right w:val="single" w:sz="4" w:space="0" w:color="auto"/>
            </w:tcBorders>
          </w:tcPr>
          <w:p w14:paraId="09A29B13" w14:textId="77777777" w:rsidR="00893250" w:rsidRPr="00893250" w:rsidRDefault="00893250" w:rsidP="0067388B">
            <w:pPr>
              <w:rPr>
                <w:szCs w:val="24"/>
                <w:lang w:eastAsia="en-US"/>
              </w:rPr>
            </w:pPr>
            <w:r w:rsidRPr="00893250">
              <w:rPr>
                <w:szCs w:val="24"/>
                <w:lang w:eastAsia="en-US"/>
              </w:rPr>
              <w:lastRenderedPageBreak/>
              <w:t>Įstaigos veiklos vertinimas</w:t>
            </w:r>
          </w:p>
        </w:tc>
        <w:tc>
          <w:tcPr>
            <w:tcW w:w="2891" w:type="dxa"/>
            <w:tcBorders>
              <w:top w:val="single" w:sz="4" w:space="0" w:color="auto"/>
              <w:left w:val="single" w:sz="4" w:space="0" w:color="auto"/>
              <w:bottom w:val="single" w:sz="4" w:space="0" w:color="auto"/>
              <w:right w:val="single" w:sz="4" w:space="0" w:color="auto"/>
            </w:tcBorders>
          </w:tcPr>
          <w:p w14:paraId="3E23D0D0" w14:textId="77777777" w:rsidR="00893250" w:rsidRPr="00893250" w:rsidRDefault="00893250" w:rsidP="0067388B">
            <w:pPr>
              <w:jc w:val="both"/>
              <w:rPr>
                <w:szCs w:val="24"/>
                <w:lang w:eastAsia="en-US"/>
              </w:rPr>
            </w:pPr>
            <w:r w:rsidRPr="00893250">
              <w:rPr>
                <w:szCs w:val="24"/>
                <w:lang w:eastAsia="en-US"/>
              </w:rPr>
              <w:t>Išorinis įstaigos vertinimas ir gautų duomenų naudojimas veiklai tobulinti</w:t>
            </w:r>
          </w:p>
        </w:tc>
        <w:tc>
          <w:tcPr>
            <w:tcW w:w="8931" w:type="dxa"/>
            <w:tcBorders>
              <w:top w:val="single" w:sz="4" w:space="0" w:color="auto"/>
              <w:left w:val="single" w:sz="4" w:space="0" w:color="auto"/>
              <w:bottom w:val="single" w:sz="4" w:space="0" w:color="auto"/>
              <w:right w:val="single" w:sz="4" w:space="0" w:color="auto"/>
            </w:tcBorders>
          </w:tcPr>
          <w:p w14:paraId="7F0E9C24" w14:textId="77777777" w:rsidR="00893250" w:rsidRPr="00893250" w:rsidRDefault="00893250" w:rsidP="0067388B">
            <w:pPr>
              <w:jc w:val="both"/>
              <w:rPr>
                <w:szCs w:val="24"/>
              </w:rPr>
            </w:pPr>
            <w:r w:rsidRPr="00893250">
              <w:rPr>
                <w:szCs w:val="24"/>
              </w:rPr>
              <w:t>2024 m. išorinis įstaigos vertinimas nevyko.</w:t>
            </w:r>
          </w:p>
        </w:tc>
      </w:tr>
      <w:tr w:rsidR="00893250" w:rsidRPr="00893250" w14:paraId="56E7D0EF" w14:textId="77777777" w:rsidTr="00893250">
        <w:trPr>
          <w:trHeight w:val="113"/>
        </w:trPr>
        <w:tc>
          <w:tcPr>
            <w:tcW w:w="14488" w:type="dxa"/>
            <w:gridSpan w:val="3"/>
            <w:tcBorders>
              <w:top w:val="nil"/>
              <w:left w:val="nil"/>
              <w:bottom w:val="single" w:sz="4" w:space="0" w:color="auto"/>
              <w:right w:val="nil"/>
            </w:tcBorders>
          </w:tcPr>
          <w:p w14:paraId="1C2F1FE8" w14:textId="77777777" w:rsidR="00893250" w:rsidRPr="00893250" w:rsidRDefault="00893250" w:rsidP="0067388B">
            <w:pPr>
              <w:jc w:val="center"/>
              <w:rPr>
                <w:rFonts w:eastAsia="Calibri"/>
                <w:b/>
                <w:sz w:val="16"/>
                <w:szCs w:val="16"/>
                <w:lang w:eastAsia="en-US"/>
              </w:rPr>
            </w:pPr>
          </w:p>
        </w:tc>
      </w:tr>
      <w:tr w:rsidR="00893250" w:rsidRPr="00893250" w14:paraId="3AB44E8F" w14:textId="77777777" w:rsidTr="00893250">
        <w:trPr>
          <w:trHeight w:val="850"/>
        </w:trPr>
        <w:tc>
          <w:tcPr>
            <w:tcW w:w="2666" w:type="dxa"/>
            <w:vMerge w:val="restart"/>
            <w:tcBorders>
              <w:top w:val="single" w:sz="4" w:space="0" w:color="auto"/>
              <w:left w:val="single" w:sz="4" w:space="0" w:color="auto"/>
              <w:right w:val="single" w:sz="4" w:space="0" w:color="auto"/>
            </w:tcBorders>
          </w:tcPr>
          <w:p w14:paraId="16474FDF" w14:textId="77777777" w:rsidR="00893250" w:rsidRPr="00893250" w:rsidRDefault="00893250" w:rsidP="0067388B">
            <w:pPr>
              <w:rPr>
                <w:szCs w:val="24"/>
                <w:lang w:eastAsia="en-US"/>
              </w:rPr>
            </w:pPr>
            <w:r w:rsidRPr="00893250">
              <w:rPr>
                <w:szCs w:val="24"/>
                <w:lang w:eastAsia="en-US"/>
              </w:rPr>
              <w:t>Įstaigos problemos ir</w:t>
            </w:r>
          </w:p>
          <w:p w14:paraId="48CFD8D5" w14:textId="77777777" w:rsidR="00893250" w:rsidRPr="00893250" w:rsidRDefault="00893250" w:rsidP="0067388B">
            <w:pPr>
              <w:rPr>
                <w:szCs w:val="24"/>
                <w:lang w:eastAsia="en-US"/>
              </w:rPr>
            </w:pPr>
            <w:r w:rsidRPr="00893250">
              <w:rPr>
                <w:szCs w:val="24"/>
                <w:lang w:eastAsia="en-US"/>
              </w:rPr>
              <w:t>jų sprendimas</w:t>
            </w:r>
          </w:p>
        </w:tc>
        <w:tc>
          <w:tcPr>
            <w:tcW w:w="2891" w:type="dxa"/>
            <w:tcBorders>
              <w:top w:val="single" w:sz="4" w:space="0" w:color="auto"/>
              <w:left w:val="single" w:sz="4" w:space="0" w:color="auto"/>
              <w:bottom w:val="single" w:sz="4" w:space="0" w:color="auto"/>
              <w:right w:val="single" w:sz="4" w:space="0" w:color="auto"/>
            </w:tcBorders>
          </w:tcPr>
          <w:p w14:paraId="68BE2D68" w14:textId="77777777" w:rsidR="00893250" w:rsidRPr="00893250" w:rsidRDefault="00893250" w:rsidP="0067388B">
            <w:pPr>
              <w:jc w:val="both"/>
              <w:rPr>
                <w:szCs w:val="24"/>
                <w:lang w:eastAsia="en-US"/>
              </w:rPr>
            </w:pPr>
            <w:r w:rsidRPr="00893250">
              <w:rPr>
                <w:szCs w:val="24"/>
                <w:lang w:eastAsia="en-US"/>
              </w:rPr>
              <w:t xml:space="preserve">2023 m. mokyklos veiklos ataskaitoje nurodytų problemų (iš)sprendimas </w:t>
            </w:r>
          </w:p>
        </w:tc>
        <w:tc>
          <w:tcPr>
            <w:tcW w:w="8931" w:type="dxa"/>
            <w:tcBorders>
              <w:left w:val="single" w:sz="4" w:space="0" w:color="auto"/>
              <w:bottom w:val="single" w:sz="4" w:space="0" w:color="auto"/>
              <w:right w:val="single" w:sz="4" w:space="0" w:color="auto"/>
            </w:tcBorders>
          </w:tcPr>
          <w:p w14:paraId="62E0DA4D" w14:textId="77777777" w:rsidR="00893250" w:rsidRPr="00893250" w:rsidRDefault="00893250" w:rsidP="0067388B">
            <w:pPr>
              <w:jc w:val="both"/>
              <w:rPr>
                <w:rFonts w:eastAsia="Calibri"/>
                <w:szCs w:val="24"/>
              </w:rPr>
            </w:pPr>
            <w:r w:rsidRPr="00893250">
              <w:rPr>
                <w:rFonts w:eastAsia="Calibri"/>
                <w:szCs w:val="24"/>
              </w:rPr>
              <w:t>Atliktas minimalus už 12 000 eurų stogo dangos remontas.</w:t>
            </w:r>
          </w:p>
          <w:p w14:paraId="6723AEE9" w14:textId="77777777" w:rsidR="00893250" w:rsidRPr="00893250" w:rsidRDefault="00893250" w:rsidP="0067388B">
            <w:pPr>
              <w:jc w:val="both"/>
              <w:rPr>
                <w:bCs/>
                <w:szCs w:val="24"/>
                <w:highlight w:val="yellow"/>
                <w:lang w:eastAsia="en-US"/>
              </w:rPr>
            </w:pPr>
            <w:r w:rsidRPr="00893250">
              <w:rPr>
                <w:rFonts w:eastAsia="Calibri"/>
                <w:szCs w:val="24"/>
              </w:rPr>
              <w:t xml:space="preserve">Suremontuoti 2 sanitariniai mazgai.  </w:t>
            </w:r>
          </w:p>
        </w:tc>
      </w:tr>
      <w:tr w:rsidR="00893250" w:rsidRPr="00893250" w14:paraId="6230D06A" w14:textId="77777777" w:rsidTr="00893250">
        <w:trPr>
          <w:trHeight w:val="135"/>
        </w:trPr>
        <w:tc>
          <w:tcPr>
            <w:tcW w:w="2666" w:type="dxa"/>
            <w:vMerge/>
            <w:tcBorders>
              <w:left w:val="single" w:sz="4" w:space="0" w:color="auto"/>
              <w:right w:val="single" w:sz="4" w:space="0" w:color="auto"/>
            </w:tcBorders>
          </w:tcPr>
          <w:p w14:paraId="32369C97"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7422221F" w14:textId="77777777" w:rsidR="00893250" w:rsidRPr="00893250" w:rsidRDefault="00893250" w:rsidP="0067388B">
            <w:pPr>
              <w:jc w:val="both"/>
              <w:rPr>
                <w:szCs w:val="24"/>
                <w:lang w:eastAsia="en-US"/>
              </w:rPr>
            </w:pPr>
            <w:r w:rsidRPr="00893250">
              <w:rPr>
                <w:szCs w:val="24"/>
                <w:lang w:eastAsia="en-US"/>
              </w:rPr>
              <w:t>Esamos mokyklos problemos ir jų sprendimas</w:t>
            </w:r>
          </w:p>
          <w:p w14:paraId="5C83F439" w14:textId="77777777" w:rsidR="00893250" w:rsidRPr="00893250" w:rsidRDefault="00893250" w:rsidP="0067388B">
            <w:pPr>
              <w:jc w:val="both"/>
              <w:rPr>
                <w:szCs w:val="24"/>
                <w:lang w:eastAsia="en-US"/>
              </w:rPr>
            </w:pPr>
          </w:p>
        </w:tc>
        <w:tc>
          <w:tcPr>
            <w:tcW w:w="8931" w:type="dxa"/>
            <w:tcBorders>
              <w:left w:val="single" w:sz="4" w:space="0" w:color="auto"/>
              <w:bottom w:val="single" w:sz="4" w:space="0" w:color="auto"/>
              <w:right w:val="single" w:sz="4" w:space="0" w:color="auto"/>
            </w:tcBorders>
          </w:tcPr>
          <w:p w14:paraId="4D3D1D60" w14:textId="77777777" w:rsidR="00893250" w:rsidRPr="00893250" w:rsidRDefault="00893250" w:rsidP="0067388B">
            <w:pPr>
              <w:tabs>
                <w:tab w:val="left" w:pos="319"/>
              </w:tabs>
              <w:jc w:val="both"/>
              <w:rPr>
                <w:rFonts w:eastAsia="Calibri"/>
                <w:szCs w:val="24"/>
              </w:rPr>
            </w:pPr>
            <w:r w:rsidRPr="00893250">
              <w:rPr>
                <w:rFonts w:eastAsia="Calibri"/>
                <w:szCs w:val="24"/>
              </w:rPr>
              <w:t xml:space="preserve">Būtinas viso </w:t>
            </w:r>
            <w:r w:rsidRPr="00893250">
              <w:rPr>
                <w:szCs w:val="24"/>
                <w:lang w:eastAsia="en-US"/>
              </w:rPr>
              <w:t xml:space="preserve">Jurbarko Vytauto Didžiojo pagrindinės mokyklos </w:t>
            </w:r>
            <w:r w:rsidRPr="00893250">
              <w:rPr>
                <w:rFonts w:eastAsia="Calibri"/>
                <w:szCs w:val="24"/>
              </w:rPr>
              <w:t xml:space="preserve">pastato remontas ir modernizavimas (darbai nebuvo atliekami). </w:t>
            </w:r>
          </w:p>
          <w:p w14:paraId="3C9CD094" w14:textId="77777777" w:rsidR="00893250" w:rsidRPr="00893250" w:rsidRDefault="00893250" w:rsidP="0067388B">
            <w:pPr>
              <w:tabs>
                <w:tab w:val="left" w:pos="319"/>
              </w:tabs>
              <w:jc w:val="both"/>
              <w:rPr>
                <w:szCs w:val="24"/>
                <w:lang w:eastAsia="en-US"/>
              </w:rPr>
            </w:pPr>
            <w:r w:rsidRPr="00893250">
              <w:rPr>
                <w:szCs w:val="24"/>
                <w:lang w:eastAsia="en-US"/>
              </w:rPr>
              <w:t xml:space="preserve">Saugos sistemų įrengimas Jurbarko Vytauto Didžiojo pagrindinės mokyklos </w:t>
            </w:r>
            <w:proofErr w:type="spellStart"/>
            <w:r w:rsidRPr="00893250">
              <w:rPr>
                <w:szCs w:val="24"/>
                <w:lang w:eastAsia="en-US"/>
              </w:rPr>
              <w:t>Smalininkų</w:t>
            </w:r>
            <w:proofErr w:type="spellEnd"/>
            <w:r w:rsidRPr="00893250">
              <w:rPr>
                <w:szCs w:val="24"/>
                <w:lang w:eastAsia="en-US"/>
              </w:rPr>
              <w:t xml:space="preserve"> Lidijos </w:t>
            </w:r>
            <w:proofErr w:type="spellStart"/>
            <w:r w:rsidRPr="00893250">
              <w:rPr>
                <w:szCs w:val="24"/>
                <w:lang w:eastAsia="en-US"/>
              </w:rPr>
              <w:t>Meškaitytės</w:t>
            </w:r>
            <w:proofErr w:type="spellEnd"/>
            <w:r w:rsidRPr="00893250">
              <w:rPr>
                <w:szCs w:val="24"/>
                <w:lang w:eastAsia="en-US"/>
              </w:rPr>
              <w:t xml:space="preserve"> skyriuje ir Jurbarko Vytauto Didžiojo pagrindinės mokyklos Viešvilės skyriuje užtikrintų pastatų saugumą 24 val., būtų sumažinti žmogiškieji ištekliai.</w:t>
            </w:r>
          </w:p>
          <w:p w14:paraId="66FA9C66" w14:textId="77777777" w:rsidR="00893250" w:rsidRPr="00893250" w:rsidRDefault="00893250" w:rsidP="0067388B">
            <w:pPr>
              <w:tabs>
                <w:tab w:val="left" w:pos="319"/>
              </w:tabs>
              <w:jc w:val="both"/>
              <w:rPr>
                <w:szCs w:val="24"/>
                <w:lang w:eastAsia="en-US"/>
              </w:rPr>
            </w:pPr>
            <w:r w:rsidRPr="00893250">
              <w:rPr>
                <w:szCs w:val="24"/>
                <w:lang w:eastAsia="en-US"/>
              </w:rPr>
              <w:t>Jurbarko Vytauto Didžiojo pagrindinėje mokykloje ir Jurbarko Vytauto Didžiojo pagrindinės mokyklos Viešvilės skyriuje virtuvės įranga nėra kokybiška, nuolat gendanti ir eksploatacijai nėra tinkama. Reikalinga įsigyti pramonines bulvių tarkavimo ir daržovių pjaustymo mašinas.</w:t>
            </w:r>
          </w:p>
          <w:p w14:paraId="374EDEB4" w14:textId="77777777" w:rsidR="00893250" w:rsidRPr="00893250" w:rsidRDefault="00893250" w:rsidP="0067388B">
            <w:pPr>
              <w:tabs>
                <w:tab w:val="left" w:pos="319"/>
              </w:tabs>
              <w:jc w:val="both"/>
              <w:rPr>
                <w:szCs w:val="24"/>
                <w:lang w:eastAsia="en-US"/>
              </w:rPr>
            </w:pPr>
            <w:r w:rsidRPr="00893250">
              <w:rPr>
                <w:szCs w:val="24"/>
                <w:lang w:eastAsia="en-US"/>
              </w:rPr>
              <w:t>Jurbarko Vytauto Didžiojo pagrindinės mokyklos stogas nėra apšildytas, stogo danga suskilusi, esant lietui vanduo teka į pastato vidų, gadina naujai suremontuotų kabinetų lubas ir sienas.</w:t>
            </w:r>
          </w:p>
          <w:p w14:paraId="67C27D93" w14:textId="77777777" w:rsidR="00893250" w:rsidRPr="00893250" w:rsidRDefault="00893250" w:rsidP="0067388B">
            <w:pPr>
              <w:tabs>
                <w:tab w:val="left" w:pos="319"/>
              </w:tabs>
              <w:jc w:val="both"/>
              <w:rPr>
                <w:rFonts w:eastAsia="Calibri"/>
                <w:szCs w:val="24"/>
              </w:rPr>
            </w:pPr>
            <w:r w:rsidRPr="00893250">
              <w:rPr>
                <w:szCs w:val="24"/>
                <w:lang w:eastAsia="en-US"/>
              </w:rPr>
              <w:t xml:space="preserve">Iš modernizavimo lėšų bus suremontuoti dar 2 sanitariniai mazgai. </w:t>
            </w:r>
          </w:p>
          <w:p w14:paraId="2B58569B" w14:textId="77777777" w:rsidR="00893250" w:rsidRPr="00893250" w:rsidRDefault="00893250" w:rsidP="0067388B">
            <w:pPr>
              <w:tabs>
                <w:tab w:val="left" w:pos="319"/>
              </w:tabs>
              <w:jc w:val="both"/>
              <w:rPr>
                <w:szCs w:val="24"/>
                <w:lang w:eastAsia="en-US"/>
              </w:rPr>
            </w:pPr>
            <w:r w:rsidRPr="00893250">
              <w:rPr>
                <w:szCs w:val="24"/>
                <w:lang w:eastAsia="en-US"/>
              </w:rPr>
              <w:t xml:space="preserve">Jurbarko Vytauto Didžiojo pagrindinės mokyklos </w:t>
            </w:r>
            <w:proofErr w:type="spellStart"/>
            <w:r w:rsidRPr="00893250">
              <w:rPr>
                <w:szCs w:val="24"/>
                <w:lang w:eastAsia="en-US"/>
              </w:rPr>
              <w:t>Smalininkų</w:t>
            </w:r>
            <w:proofErr w:type="spellEnd"/>
            <w:r w:rsidRPr="00893250">
              <w:rPr>
                <w:szCs w:val="24"/>
                <w:lang w:eastAsia="en-US"/>
              </w:rPr>
              <w:t xml:space="preserve"> Lidijos </w:t>
            </w:r>
            <w:proofErr w:type="spellStart"/>
            <w:r w:rsidRPr="00893250">
              <w:rPr>
                <w:szCs w:val="24"/>
                <w:lang w:eastAsia="en-US"/>
              </w:rPr>
              <w:t>Meškaitytės</w:t>
            </w:r>
            <w:proofErr w:type="spellEnd"/>
            <w:r w:rsidRPr="00893250">
              <w:rPr>
                <w:szCs w:val="24"/>
                <w:lang w:eastAsia="en-US"/>
              </w:rPr>
              <w:t xml:space="preserve"> skyriuje darželio uždarame kieme reikia atnaujinti aikštelės dangą ir sutvarkyti betoninį taką, kuris nėra saugus. Taip pat sutvarkyti pagrindinius laiptus į mokyklą.</w:t>
            </w:r>
          </w:p>
          <w:p w14:paraId="76FF48DA" w14:textId="77777777" w:rsidR="00893250" w:rsidRPr="00893250" w:rsidRDefault="00893250" w:rsidP="0067388B">
            <w:pPr>
              <w:tabs>
                <w:tab w:val="left" w:pos="319"/>
              </w:tabs>
              <w:jc w:val="both"/>
              <w:rPr>
                <w:szCs w:val="24"/>
                <w:highlight w:val="yellow"/>
                <w:lang w:eastAsia="en-US"/>
              </w:rPr>
            </w:pPr>
            <w:r w:rsidRPr="00893250">
              <w:rPr>
                <w:szCs w:val="24"/>
                <w:lang w:eastAsia="en-US"/>
              </w:rPr>
              <w:t>Jurbarko Vytauto Didžiojo pagrindinės mokyklos Viešvilės skyriuje reikalingas dviejų darželio grupių kosmetinis remontas, šiuolaikiniai baldai ir gamtamokslinių kabinetų einamasis remontas.</w:t>
            </w:r>
          </w:p>
        </w:tc>
      </w:tr>
      <w:tr w:rsidR="00893250" w:rsidRPr="00893250" w14:paraId="04508F93" w14:textId="77777777" w:rsidTr="00893250">
        <w:trPr>
          <w:trHeight w:val="559"/>
        </w:trPr>
        <w:tc>
          <w:tcPr>
            <w:tcW w:w="2666" w:type="dxa"/>
            <w:vMerge/>
            <w:tcBorders>
              <w:left w:val="single" w:sz="4" w:space="0" w:color="auto"/>
              <w:bottom w:val="single" w:sz="4" w:space="0" w:color="auto"/>
              <w:right w:val="single" w:sz="4" w:space="0" w:color="auto"/>
            </w:tcBorders>
          </w:tcPr>
          <w:p w14:paraId="05B86CF2"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0F382BC0" w14:textId="77777777" w:rsidR="00893250" w:rsidRPr="00893250" w:rsidRDefault="00893250" w:rsidP="0067388B">
            <w:pPr>
              <w:rPr>
                <w:szCs w:val="24"/>
                <w:lang w:eastAsia="en-US"/>
              </w:rPr>
            </w:pPr>
            <w:r w:rsidRPr="00893250">
              <w:rPr>
                <w:szCs w:val="24"/>
                <w:lang w:eastAsia="en-US"/>
              </w:rPr>
              <w:t>Galimos (tikėtinos) mokyklos problemos ir jų sprendimas</w:t>
            </w:r>
          </w:p>
        </w:tc>
        <w:tc>
          <w:tcPr>
            <w:tcW w:w="8931" w:type="dxa"/>
            <w:tcBorders>
              <w:top w:val="single" w:sz="4" w:space="0" w:color="auto"/>
              <w:left w:val="single" w:sz="4" w:space="0" w:color="auto"/>
              <w:bottom w:val="single" w:sz="4" w:space="0" w:color="auto"/>
              <w:right w:val="single" w:sz="4" w:space="0" w:color="auto"/>
            </w:tcBorders>
          </w:tcPr>
          <w:p w14:paraId="78F32230" w14:textId="77777777" w:rsidR="00893250" w:rsidRPr="00893250" w:rsidRDefault="00893250" w:rsidP="0067388B">
            <w:pPr>
              <w:tabs>
                <w:tab w:val="left" w:pos="319"/>
              </w:tabs>
              <w:jc w:val="both"/>
              <w:rPr>
                <w:rFonts w:eastAsia="Calibri"/>
                <w:szCs w:val="24"/>
                <w:lang w:eastAsia="en-US"/>
              </w:rPr>
            </w:pPr>
            <w:r w:rsidRPr="00893250">
              <w:rPr>
                <w:rFonts w:eastAsia="Calibri"/>
                <w:szCs w:val="24"/>
                <w:lang w:eastAsia="en-US"/>
              </w:rPr>
              <w:t>Pedagoginių darbuotojų trūkumas (suėjus senatvės pensijai, dalis mokytojų išeina iš darbo, o pakeistų jų nėra kuo).</w:t>
            </w:r>
          </w:p>
          <w:p w14:paraId="2273898B" w14:textId="77777777" w:rsidR="00893250" w:rsidRPr="00893250" w:rsidRDefault="00893250" w:rsidP="0067388B">
            <w:pPr>
              <w:tabs>
                <w:tab w:val="left" w:pos="319"/>
              </w:tabs>
              <w:jc w:val="both"/>
              <w:rPr>
                <w:rFonts w:eastAsia="Calibri"/>
                <w:szCs w:val="24"/>
                <w:lang w:eastAsia="en-US"/>
              </w:rPr>
            </w:pPr>
            <w:r w:rsidRPr="00893250">
              <w:rPr>
                <w:rFonts w:eastAsia="Calibri"/>
                <w:szCs w:val="24"/>
                <w:lang w:eastAsia="en-US"/>
              </w:rPr>
              <w:t>Mokinių skaičiaus mažėjimas, neskaitlingos klasės / grupės.</w:t>
            </w:r>
          </w:p>
          <w:p w14:paraId="457067F2" w14:textId="77777777" w:rsidR="00893250" w:rsidRPr="00893250" w:rsidRDefault="00893250" w:rsidP="0067388B">
            <w:pPr>
              <w:tabs>
                <w:tab w:val="left" w:pos="319"/>
              </w:tabs>
              <w:jc w:val="both"/>
              <w:rPr>
                <w:rFonts w:eastAsia="Calibri"/>
                <w:szCs w:val="24"/>
                <w:lang w:eastAsia="en-US"/>
              </w:rPr>
            </w:pPr>
            <w:r w:rsidRPr="00893250">
              <w:rPr>
                <w:rFonts w:eastAsia="Calibri"/>
                <w:szCs w:val="24"/>
                <w:lang w:eastAsia="en-US"/>
              </w:rPr>
              <w:t xml:space="preserve">Jurbarko Vytauto Didžiojo pagrindinės mokyklos </w:t>
            </w:r>
            <w:proofErr w:type="spellStart"/>
            <w:r w:rsidRPr="00893250">
              <w:rPr>
                <w:rFonts w:eastAsia="Calibri"/>
                <w:szCs w:val="24"/>
                <w:lang w:eastAsia="en-US"/>
              </w:rPr>
              <w:t>Smalininkų</w:t>
            </w:r>
            <w:proofErr w:type="spellEnd"/>
            <w:r w:rsidRPr="00893250">
              <w:rPr>
                <w:rFonts w:eastAsia="Calibri"/>
                <w:szCs w:val="24"/>
                <w:lang w:eastAsia="en-US"/>
              </w:rPr>
              <w:t xml:space="preserve"> Lidijos </w:t>
            </w:r>
            <w:proofErr w:type="spellStart"/>
            <w:r w:rsidRPr="00893250">
              <w:rPr>
                <w:rFonts w:eastAsia="Calibri"/>
                <w:szCs w:val="24"/>
                <w:lang w:eastAsia="en-US"/>
              </w:rPr>
              <w:t>Meškaitytės</w:t>
            </w:r>
            <w:proofErr w:type="spellEnd"/>
            <w:r w:rsidRPr="00893250">
              <w:rPr>
                <w:rFonts w:eastAsia="Calibri"/>
                <w:szCs w:val="24"/>
                <w:lang w:eastAsia="en-US"/>
              </w:rPr>
              <w:t xml:space="preserve"> skyriuje neformuojamos pagrindinio ugdymo klasės. Dideli pastato išlaikymo kaštai. </w:t>
            </w:r>
          </w:p>
        </w:tc>
      </w:tr>
      <w:tr w:rsidR="00893250" w:rsidRPr="00893250" w14:paraId="45CA31D2" w14:textId="77777777" w:rsidTr="00893250">
        <w:trPr>
          <w:trHeight w:val="559"/>
        </w:trPr>
        <w:tc>
          <w:tcPr>
            <w:tcW w:w="2666" w:type="dxa"/>
            <w:tcBorders>
              <w:left w:val="single" w:sz="4" w:space="0" w:color="auto"/>
              <w:bottom w:val="single" w:sz="4" w:space="0" w:color="auto"/>
              <w:right w:val="single" w:sz="4" w:space="0" w:color="auto"/>
            </w:tcBorders>
          </w:tcPr>
          <w:p w14:paraId="21A0BA05" w14:textId="77777777" w:rsidR="00893250" w:rsidRPr="00893250" w:rsidRDefault="00893250" w:rsidP="0067388B">
            <w:pPr>
              <w:rPr>
                <w:szCs w:val="24"/>
                <w:lang w:eastAsia="en-US"/>
              </w:rPr>
            </w:pPr>
            <w:r w:rsidRPr="00893250">
              <w:rPr>
                <w:szCs w:val="24"/>
                <w:lang w:eastAsia="en-US"/>
              </w:rPr>
              <w:lastRenderedPageBreak/>
              <w:t>Metų ataskaitos aptarimas įstaigos savivaldos institucijose</w:t>
            </w:r>
          </w:p>
        </w:tc>
        <w:tc>
          <w:tcPr>
            <w:tcW w:w="11822" w:type="dxa"/>
            <w:gridSpan w:val="2"/>
            <w:tcBorders>
              <w:top w:val="single" w:sz="4" w:space="0" w:color="auto"/>
              <w:left w:val="single" w:sz="4" w:space="0" w:color="auto"/>
              <w:bottom w:val="single" w:sz="4" w:space="0" w:color="auto"/>
              <w:right w:val="single" w:sz="4" w:space="0" w:color="auto"/>
            </w:tcBorders>
          </w:tcPr>
          <w:p w14:paraId="2E0D0D76" w14:textId="77777777" w:rsidR="00893250" w:rsidRPr="00893250" w:rsidRDefault="00893250" w:rsidP="0067388B">
            <w:pPr>
              <w:tabs>
                <w:tab w:val="left" w:pos="319"/>
              </w:tabs>
              <w:jc w:val="both"/>
              <w:rPr>
                <w:rFonts w:eastAsia="Calibri"/>
                <w:szCs w:val="24"/>
                <w:lang w:eastAsia="en-US"/>
              </w:rPr>
            </w:pPr>
            <w:r w:rsidRPr="00893250">
              <w:rPr>
                <w:bCs/>
                <w:szCs w:val="24"/>
                <w:lang w:eastAsia="en-US"/>
              </w:rPr>
              <w:t>Ataskaita aptarta 2025 m. balandžio 23 d. Mokyklos tarybos posėdyje (protokolo Nr. MT-2) ir Mokytojų tarybos posėdyje 2025 m. balandžio 24 d.</w:t>
            </w:r>
            <w:r w:rsidRPr="00893250">
              <w:t xml:space="preserve"> (</w:t>
            </w:r>
            <w:r w:rsidRPr="00893250">
              <w:rPr>
                <w:bCs/>
                <w:szCs w:val="24"/>
                <w:lang w:eastAsia="en-US"/>
              </w:rPr>
              <w:t>protokolo Nr. V3-2).</w:t>
            </w:r>
          </w:p>
        </w:tc>
      </w:tr>
      <w:tr w:rsidR="00893250" w:rsidRPr="00893250" w14:paraId="06D44C1D" w14:textId="77777777" w:rsidTr="00893250">
        <w:trPr>
          <w:trHeight w:val="559"/>
        </w:trPr>
        <w:tc>
          <w:tcPr>
            <w:tcW w:w="2666" w:type="dxa"/>
            <w:vMerge w:val="restart"/>
            <w:tcBorders>
              <w:left w:val="single" w:sz="4" w:space="0" w:color="auto"/>
              <w:right w:val="single" w:sz="4" w:space="0" w:color="auto"/>
            </w:tcBorders>
          </w:tcPr>
          <w:p w14:paraId="78E629D7" w14:textId="77777777" w:rsidR="00893250" w:rsidRPr="00893250" w:rsidRDefault="00893250" w:rsidP="0067388B">
            <w:pPr>
              <w:rPr>
                <w:szCs w:val="24"/>
                <w:lang w:eastAsia="en-US"/>
              </w:rPr>
            </w:pPr>
            <w:r w:rsidRPr="00893250">
              <w:rPr>
                <w:szCs w:val="24"/>
                <w:lang w:eastAsia="en-US"/>
              </w:rPr>
              <w:t>Papildoma informacija apie įstaigą</w:t>
            </w:r>
          </w:p>
        </w:tc>
        <w:tc>
          <w:tcPr>
            <w:tcW w:w="2891" w:type="dxa"/>
            <w:tcBorders>
              <w:top w:val="single" w:sz="4" w:space="0" w:color="auto"/>
              <w:left w:val="single" w:sz="4" w:space="0" w:color="auto"/>
              <w:bottom w:val="single" w:sz="4" w:space="0" w:color="auto"/>
              <w:right w:val="single" w:sz="4" w:space="0" w:color="auto"/>
            </w:tcBorders>
          </w:tcPr>
          <w:p w14:paraId="30E0142B" w14:textId="77777777" w:rsidR="00893250" w:rsidRPr="00893250" w:rsidRDefault="00893250" w:rsidP="0067388B">
            <w:pPr>
              <w:rPr>
                <w:szCs w:val="24"/>
                <w:lang w:eastAsia="en-US"/>
              </w:rPr>
            </w:pPr>
            <w:r w:rsidRPr="00893250">
              <w:rPr>
                <w:szCs w:val="24"/>
                <w:lang w:eastAsia="en-US"/>
              </w:rPr>
              <w:t>Informacijos apie įstaigos veiklą sklaida</w:t>
            </w:r>
          </w:p>
        </w:tc>
        <w:tc>
          <w:tcPr>
            <w:tcW w:w="8931" w:type="dxa"/>
            <w:tcBorders>
              <w:top w:val="single" w:sz="4" w:space="0" w:color="auto"/>
              <w:left w:val="single" w:sz="4" w:space="0" w:color="auto"/>
              <w:bottom w:val="single" w:sz="4" w:space="0" w:color="auto"/>
              <w:right w:val="single" w:sz="4" w:space="0" w:color="auto"/>
            </w:tcBorders>
          </w:tcPr>
          <w:p w14:paraId="1F72813A" w14:textId="77777777" w:rsidR="00893250" w:rsidRPr="00893250" w:rsidRDefault="00893250" w:rsidP="0067388B">
            <w:pPr>
              <w:tabs>
                <w:tab w:val="left" w:pos="319"/>
              </w:tabs>
              <w:jc w:val="both"/>
              <w:rPr>
                <w:rFonts w:eastAsia="Calibri"/>
                <w:szCs w:val="24"/>
                <w:lang w:eastAsia="en-US"/>
              </w:rPr>
            </w:pPr>
            <w:r w:rsidRPr="00893250">
              <w:rPr>
                <w:bCs/>
                <w:szCs w:val="24"/>
                <w:lang w:eastAsia="en-US"/>
              </w:rPr>
              <w:t xml:space="preserve">Mokyklos interneto puslapyje </w:t>
            </w:r>
            <w:hyperlink r:id="rId13" w:history="1">
              <w:r w:rsidRPr="00893250">
                <w:rPr>
                  <w:rStyle w:val="Hipersaitas"/>
                  <w:rFonts w:eastAsiaTheme="majorEastAsia"/>
                  <w:bCs/>
                  <w:szCs w:val="24"/>
                </w:rPr>
                <w:t>www.jvdm.lt</w:t>
              </w:r>
            </w:hyperlink>
            <w:r w:rsidRPr="00893250">
              <w:rPr>
                <w:bCs/>
                <w:szCs w:val="24"/>
                <w:lang w:eastAsia="en-US"/>
              </w:rPr>
              <w:t>, socialiniame tinkle „Facebook“, savivaldybės interneto puslapyje, rajoniniuose laikraščiuose.</w:t>
            </w:r>
          </w:p>
        </w:tc>
      </w:tr>
      <w:tr w:rsidR="00893250" w:rsidRPr="00893250" w14:paraId="097A4D6D" w14:textId="77777777" w:rsidTr="00893250">
        <w:trPr>
          <w:trHeight w:val="559"/>
        </w:trPr>
        <w:tc>
          <w:tcPr>
            <w:tcW w:w="2666" w:type="dxa"/>
            <w:vMerge/>
            <w:tcBorders>
              <w:left w:val="single" w:sz="4" w:space="0" w:color="auto"/>
              <w:right w:val="single" w:sz="4" w:space="0" w:color="auto"/>
            </w:tcBorders>
          </w:tcPr>
          <w:p w14:paraId="1978B74D"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471CB261" w14:textId="77777777" w:rsidR="00893250" w:rsidRPr="00893250" w:rsidRDefault="00893250" w:rsidP="0067388B">
            <w:pPr>
              <w:rPr>
                <w:szCs w:val="24"/>
                <w:lang w:eastAsia="en-US"/>
              </w:rPr>
            </w:pPr>
            <w:r w:rsidRPr="00893250">
              <w:rPr>
                <w:szCs w:val="24"/>
                <w:lang w:eastAsia="en-US"/>
              </w:rPr>
              <w:t>Įstaigos partneriai</w:t>
            </w:r>
          </w:p>
          <w:p w14:paraId="32F40FED" w14:textId="77777777" w:rsidR="00893250" w:rsidRPr="00893250" w:rsidRDefault="00893250" w:rsidP="0067388B">
            <w:pPr>
              <w:rPr>
                <w:szCs w:val="24"/>
                <w:lang w:eastAsia="en-US"/>
              </w:rPr>
            </w:pPr>
            <w:r w:rsidRPr="00893250">
              <w:rPr>
                <w:szCs w:val="24"/>
                <w:lang w:eastAsia="en-US"/>
              </w:rPr>
              <w:t>Bendradarbiavimo su mokinių tėvais (globėjais, rūpintojais) ir socialiniais partneriais formos</w:t>
            </w:r>
          </w:p>
        </w:tc>
        <w:tc>
          <w:tcPr>
            <w:tcW w:w="8931" w:type="dxa"/>
            <w:tcBorders>
              <w:top w:val="single" w:sz="4" w:space="0" w:color="auto"/>
              <w:left w:val="single" w:sz="4" w:space="0" w:color="auto"/>
              <w:bottom w:val="single" w:sz="4" w:space="0" w:color="auto"/>
              <w:right w:val="single" w:sz="4" w:space="0" w:color="auto"/>
            </w:tcBorders>
          </w:tcPr>
          <w:p w14:paraId="5813C506" w14:textId="77777777" w:rsidR="00893250" w:rsidRPr="00893250" w:rsidRDefault="00893250" w:rsidP="0067388B">
            <w:pPr>
              <w:tabs>
                <w:tab w:val="left" w:pos="319"/>
              </w:tabs>
              <w:jc w:val="both"/>
              <w:rPr>
                <w:bCs/>
              </w:rPr>
            </w:pPr>
            <w:r w:rsidRPr="00893250">
              <w:rPr>
                <w:szCs w:val="24"/>
              </w:rPr>
              <w:t xml:space="preserve">Kauno Vytauto Didžiojo universitetas, Jurbarko „Ąžuoliuko“ mokykla, Jurbarko vaikų lopšelis-darželis „Nykštukas“, Jurbarko r. Jurbarkų darželis-mokykla, Jurbarko rajono savivaldybės viešoji biblioteka, Jurbarko kultūros centras, Jurbarko sporto centras, Jurbarko švietimo centras, Jurbarko krašto muziejus, Jurbarko Antano Sodeikos meno mokykla, Lietuvos kariuomenės karinių oro pajėgų Šiaulių aviacijos bazė, Lietuvos didžiojo kunigaikščio Kęstučio pėstininkų batalionas, Mažosios Lietuvos Jurbarko kultūros centras, Viešvilės seniūnija, Viešvilės kultūros centras, Viešvilės pasienio užkarda, Valstybinio miškų urėdijos Jurbarko regioninis padalinys </w:t>
            </w:r>
            <w:proofErr w:type="spellStart"/>
            <w:r w:rsidRPr="00893250">
              <w:rPr>
                <w:szCs w:val="24"/>
              </w:rPr>
              <w:t>Jūravos</w:t>
            </w:r>
            <w:proofErr w:type="spellEnd"/>
            <w:r w:rsidRPr="00893250">
              <w:rPr>
                <w:szCs w:val="24"/>
              </w:rPr>
              <w:t xml:space="preserve"> ir Kalvelių girininkija, </w:t>
            </w:r>
            <w:r w:rsidRPr="00893250">
              <w:rPr>
                <w:rFonts w:cs="Arial"/>
              </w:rPr>
              <w:t>Marijampolės apskrities vyriausiojo policijos komisariato Jurbarko r. policijos komisariatas, VšĮ</w:t>
            </w:r>
            <w:r w:rsidRPr="00893250">
              <w:rPr>
                <w:bCs/>
              </w:rPr>
              <w:t xml:space="preserve"> Jurbarko socialinės paslaugos. </w:t>
            </w:r>
          </w:p>
        </w:tc>
      </w:tr>
      <w:tr w:rsidR="00893250" w:rsidRPr="00893250" w14:paraId="70C11511" w14:textId="77777777" w:rsidTr="00893250">
        <w:trPr>
          <w:trHeight w:val="559"/>
        </w:trPr>
        <w:tc>
          <w:tcPr>
            <w:tcW w:w="2666" w:type="dxa"/>
            <w:vMerge/>
            <w:tcBorders>
              <w:left w:val="single" w:sz="4" w:space="0" w:color="auto"/>
              <w:bottom w:val="single" w:sz="4" w:space="0" w:color="auto"/>
              <w:right w:val="single" w:sz="4" w:space="0" w:color="auto"/>
            </w:tcBorders>
          </w:tcPr>
          <w:p w14:paraId="33F904B2"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7336000C" w14:textId="77777777" w:rsidR="00893250" w:rsidRPr="00893250" w:rsidRDefault="00893250" w:rsidP="0067388B">
            <w:pPr>
              <w:rPr>
                <w:szCs w:val="24"/>
                <w:lang w:eastAsia="en-US"/>
              </w:rPr>
            </w:pPr>
            <w:r w:rsidRPr="00893250">
              <w:rPr>
                <w:szCs w:val="24"/>
                <w:lang w:eastAsia="en-US"/>
              </w:rPr>
              <w:t>Įstaigos bendruomenės iniciatyvos</w:t>
            </w:r>
          </w:p>
        </w:tc>
        <w:tc>
          <w:tcPr>
            <w:tcW w:w="8931" w:type="dxa"/>
            <w:tcBorders>
              <w:top w:val="single" w:sz="4" w:space="0" w:color="auto"/>
              <w:left w:val="single" w:sz="4" w:space="0" w:color="auto"/>
              <w:bottom w:val="single" w:sz="4" w:space="0" w:color="auto"/>
              <w:right w:val="single" w:sz="4" w:space="0" w:color="auto"/>
            </w:tcBorders>
          </w:tcPr>
          <w:p w14:paraId="79ACAEF6" w14:textId="77777777" w:rsidR="00893250" w:rsidRPr="00893250" w:rsidRDefault="00893250" w:rsidP="0067388B">
            <w:pPr>
              <w:tabs>
                <w:tab w:val="left" w:pos="319"/>
              </w:tabs>
              <w:jc w:val="both"/>
              <w:rPr>
                <w:rFonts w:eastAsia="Calibri"/>
                <w:szCs w:val="24"/>
                <w:lang w:eastAsia="en-US"/>
              </w:rPr>
            </w:pPr>
            <w:r w:rsidRPr="00893250">
              <w:rPr>
                <w:rFonts w:eastAsia="Calibri"/>
                <w:szCs w:val="24"/>
              </w:rPr>
              <w:t xml:space="preserve">Projektas „Sklandus perėjimas iš darželio į mokyklą“, akcija „Darom 2024“, „Kaziuko mugė“. Projektas </w:t>
            </w:r>
            <w:r w:rsidRPr="00893250">
              <w:rPr>
                <w:szCs w:val="24"/>
              </w:rPr>
              <w:t>„Šviesus ir saugus kelias į mokyklą“, kuris buvo finansuotas ir įgyvendintas.</w:t>
            </w:r>
            <w:r w:rsidRPr="00893250">
              <w:rPr>
                <w:rFonts w:eastAsia="Calibri"/>
                <w:szCs w:val="24"/>
              </w:rPr>
              <w:t xml:space="preserve"> Kasmet </w:t>
            </w:r>
            <w:r w:rsidRPr="00893250">
              <w:rPr>
                <w:rFonts w:eastAsia="Calibri"/>
                <w:szCs w:val="24"/>
                <w:lang w:eastAsia="en-US"/>
              </w:rPr>
              <w:t xml:space="preserve">Jurbarko Vytauto Didžiojo pagrindinės mokyklos </w:t>
            </w:r>
            <w:proofErr w:type="spellStart"/>
            <w:r w:rsidRPr="00893250">
              <w:rPr>
                <w:rFonts w:eastAsia="Calibri"/>
                <w:szCs w:val="24"/>
                <w:lang w:eastAsia="en-US"/>
              </w:rPr>
              <w:t>Smalininkų</w:t>
            </w:r>
            <w:proofErr w:type="spellEnd"/>
            <w:r w:rsidRPr="00893250">
              <w:rPr>
                <w:rFonts w:eastAsia="Calibri"/>
                <w:szCs w:val="24"/>
                <w:lang w:eastAsia="en-US"/>
              </w:rPr>
              <w:t xml:space="preserve"> Lidijos </w:t>
            </w:r>
            <w:proofErr w:type="spellStart"/>
            <w:r w:rsidRPr="00893250">
              <w:rPr>
                <w:rFonts w:eastAsia="Calibri"/>
                <w:szCs w:val="24"/>
                <w:lang w:eastAsia="en-US"/>
              </w:rPr>
              <w:t>Meškaitytės</w:t>
            </w:r>
            <w:proofErr w:type="spellEnd"/>
            <w:r w:rsidRPr="00893250">
              <w:rPr>
                <w:rFonts w:eastAsia="Calibri"/>
                <w:szCs w:val="24"/>
                <w:lang w:eastAsia="en-US"/>
              </w:rPr>
              <w:t xml:space="preserve"> skyriuje </w:t>
            </w:r>
            <w:r w:rsidRPr="00893250">
              <w:rPr>
                <w:rFonts w:eastAsia="Calibri"/>
                <w:szCs w:val="24"/>
              </w:rPr>
              <w:t>vykdoma regioninė</w:t>
            </w:r>
            <w:r w:rsidRPr="00893250">
              <w:rPr>
                <w:bCs/>
                <w:szCs w:val="24"/>
                <w:lang w:eastAsia="en-US"/>
              </w:rPr>
              <w:t>-</w:t>
            </w:r>
            <w:r w:rsidRPr="00893250">
              <w:rPr>
                <w:rFonts w:eastAsia="Calibri"/>
                <w:szCs w:val="24"/>
              </w:rPr>
              <w:t>edukacinė</w:t>
            </w:r>
            <w:r w:rsidRPr="00893250">
              <w:rPr>
                <w:bCs/>
                <w:szCs w:val="24"/>
                <w:lang w:eastAsia="en-US"/>
              </w:rPr>
              <w:t>-</w:t>
            </w:r>
            <w:r w:rsidRPr="00893250">
              <w:rPr>
                <w:rFonts w:eastAsia="Calibri"/>
                <w:szCs w:val="24"/>
              </w:rPr>
              <w:t>karinė</w:t>
            </w:r>
            <w:r w:rsidRPr="00893250">
              <w:rPr>
                <w:bCs/>
                <w:szCs w:val="24"/>
                <w:lang w:eastAsia="en-US"/>
              </w:rPr>
              <w:t>-</w:t>
            </w:r>
            <w:r w:rsidRPr="00893250">
              <w:rPr>
                <w:rFonts w:eastAsia="Calibri"/>
                <w:szCs w:val="24"/>
              </w:rPr>
              <w:t>stovykla „Sakale, lėk“.</w:t>
            </w:r>
          </w:p>
        </w:tc>
      </w:tr>
      <w:tr w:rsidR="00893250" w:rsidRPr="00893250" w14:paraId="3E389484" w14:textId="77777777" w:rsidTr="00893250">
        <w:trPr>
          <w:trHeight w:val="283"/>
        </w:trPr>
        <w:tc>
          <w:tcPr>
            <w:tcW w:w="2666" w:type="dxa"/>
            <w:tcBorders>
              <w:left w:val="single" w:sz="4" w:space="0" w:color="auto"/>
              <w:right w:val="single" w:sz="4" w:space="0" w:color="auto"/>
            </w:tcBorders>
          </w:tcPr>
          <w:p w14:paraId="3A521733" w14:textId="77777777" w:rsidR="00893250" w:rsidRPr="00893250" w:rsidRDefault="00893250" w:rsidP="0067388B">
            <w:pPr>
              <w:rPr>
                <w:szCs w:val="24"/>
                <w:lang w:eastAsia="en-US"/>
              </w:rPr>
            </w:pPr>
          </w:p>
        </w:tc>
        <w:tc>
          <w:tcPr>
            <w:tcW w:w="2891" w:type="dxa"/>
            <w:tcBorders>
              <w:top w:val="single" w:sz="4" w:space="0" w:color="auto"/>
              <w:left w:val="single" w:sz="4" w:space="0" w:color="auto"/>
              <w:bottom w:val="single" w:sz="4" w:space="0" w:color="auto"/>
              <w:right w:val="single" w:sz="4" w:space="0" w:color="auto"/>
            </w:tcBorders>
          </w:tcPr>
          <w:p w14:paraId="7A50DA43" w14:textId="77777777" w:rsidR="00893250" w:rsidRPr="00893250" w:rsidRDefault="00893250" w:rsidP="0067388B">
            <w:pPr>
              <w:rPr>
                <w:szCs w:val="24"/>
                <w:lang w:eastAsia="en-US"/>
              </w:rPr>
            </w:pPr>
            <w:r w:rsidRPr="00893250">
              <w:rPr>
                <w:szCs w:val="24"/>
                <w:lang w:eastAsia="en-US"/>
              </w:rPr>
              <w:t>Kita informacija</w:t>
            </w:r>
          </w:p>
        </w:tc>
        <w:tc>
          <w:tcPr>
            <w:tcW w:w="8931" w:type="dxa"/>
            <w:tcBorders>
              <w:top w:val="single" w:sz="4" w:space="0" w:color="auto"/>
              <w:left w:val="single" w:sz="4" w:space="0" w:color="auto"/>
              <w:bottom w:val="single" w:sz="4" w:space="0" w:color="auto"/>
              <w:right w:val="single" w:sz="4" w:space="0" w:color="auto"/>
            </w:tcBorders>
          </w:tcPr>
          <w:p w14:paraId="0AD23B46" w14:textId="77777777" w:rsidR="00893250" w:rsidRPr="00893250" w:rsidRDefault="00893250" w:rsidP="0067388B">
            <w:pPr>
              <w:tabs>
                <w:tab w:val="left" w:pos="319"/>
              </w:tabs>
              <w:jc w:val="both"/>
              <w:rPr>
                <w:rFonts w:eastAsia="Calibri"/>
                <w:szCs w:val="24"/>
              </w:rPr>
            </w:pPr>
            <w:r w:rsidRPr="00893250">
              <w:rPr>
                <w:szCs w:val="24"/>
                <w:lang w:eastAsia="en-US"/>
              </w:rPr>
              <w:t>-</w:t>
            </w:r>
          </w:p>
        </w:tc>
      </w:tr>
    </w:tbl>
    <w:p w14:paraId="1BA66C9D" w14:textId="77777777" w:rsidR="00893250" w:rsidRPr="00893250" w:rsidRDefault="00893250" w:rsidP="00893250">
      <w:pPr>
        <w:rPr>
          <w:sz w:val="20"/>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5726"/>
        <w:gridCol w:w="3118"/>
        <w:gridCol w:w="2978"/>
      </w:tblGrid>
      <w:tr w:rsidR="00893250" w:rsidRPr="00893250" w14:paraId="207D19F7" w14:textId="77777777" w:rsidTr="0067388B">
        <w:trPr>
          <w:trHeight w:val="283"/>
        </w:trPr>
        <w:tc>
          <w:tcPr>
            <w:tcW w:w="2666" w:type="dxa"/>
            <w:vMerge w:val="restart"/>
            <w:tcBorders>
              <w:left w:val="single" w:sz="4" w:space="0" w:color="auto"/>
              <w:right w:val="single" w:sz="4" w:space="0" w:color="auto"/>
            </w:tcBorders>
          </w:tcPr>
          <w:p w14:paraId="5AA182A6" w14:textId="77777777" w:rsidR="00893250" w:rsidRPr="00893250" w:rsidRDefault="00893250" w:rsidP="0067388B">
            <w:pPr>
              <w:rPr>
                <w:szCs w:val="24"/>
                <w:lang w:eastAsia="en-US"/>
              </w:rPr>
            </w:pPr>
            <w:r w:rsidRPr="00893250">
              <w:rPr>
                <w:szCs w:val="24"/>
                <w:lang w:eastAsia="en-US"/>
              </w:rPr>
              <w:t>Žmogiškieji ištekliai ir socialinė aplinka (pagal 2024 m. rugsėjo 1 d. statistiką)</w:t>
            </w:r>
          </w:p>
        </w:tc>
        <w:tc>
          <w:tcPr>
            <w:tcW w:w="5726" w:type="dxa"/>
            <w:tcBorders>
              <w:top w:val="single" w:sz="4" w:space="0" w:color="auto"/>
              <w:left w:val="single" w:sz="4" w:space="0" w:color="auto"/>
              <w:bottom w:val="single" w:sz="4" w:space="0" w:color="auto"/>
              <w:right w:val="single" w:sz="4" w:space="0" w:color="auto"/>
            </w:tcBorders>
          </w:tcPr>
          <w:p w14:paraId="011DFC51" w14:textId="77777777" w:rsidR="00893250" w:rsidRPr="00893250" w:rsidRDefault="00893250" w:rsidP="0067388B">
            <w:pPr>
              <w:rPr>
                <w:szCs w:val="24"/>
                <w:lang w:eastAsia="en-US"/>
              </w:rPr>
            </w:pPr>
            <w:r w:rsidRPr="00893250">
              <w:rPr>
                <w:szCs w:val="24"/>
                <w:lang w:eastAsia="en-US"/>
              </w:rPr>
              <w:t>Rodiklis:</w:t>
            </w:r>
          </w:p>
        </w:tc>
        <w:tc>
          <w:tcPr>
            <w:tcW w:w="3118" w:type="dxa"/>
            <w:tcBorders>
              <w:top w:val="single" w:sz="4" w:space="0" w:color="auto"/>
              <w:left w:val="single" w:sz="4" w:space="0" w:color="auto"/>
              <w:bottom w:val="single" w:sz="4" w:space="0" w:color="auto"/>
              <w:right w:val="single" w:sz="4" w:space="0" w:color="auto"/>
            </w:tcBorders>
          </w:tcPr>
          <w:p w14:paraId="76655304" w14:textId="77777777" w:rsidR="00893250" w:rsidRPr="00893250" w:rsidRDefault="00893250" w:rsidP="0067388B">
            <w:pPr>
              <w:tabs>
                <w:tab w:val="left" w:pos="319"/>
              </w:tabs>
              <w:jc w:val="center"/>
              <w:rPr>
                <w:szCs w:val="24"/>
                <w:lang w:eastAsia="en-US"/>
              </w:rPr>
            </w:pPr>
            <w:r w:rsidRPr="00893250">
              <w:rPr>
                <w:bCs/>
                <w:szCs w:val="24"/>
                <w:lang w:eastAsia="en-US"/>
              </w:rPr>
              <w:t>2023 m.</w:t>
            </w:r>
          </w:p>
        </w:tc>
        <w:tc>
          <w:tcPr>
            <w:tcW w:w="2978" w:type="dxa"/>
            <w:tcBorders>
              <w:top w:val="single" w:sz="4" w:space="0" w:color="auto"/>
              <w:left w:val="single" w:sz="4" w:space="0" w:color="auto"/>
              <w:bottom w:val="single" w:sz="4" w:space="0" w:color="auto"/>
              <w:right w:val="single" w:sz="4" w:space="0" w:color="auto"/>
            </w:tcBorders>
          </w:tcPr>
          <w:p w14:paraId="282EA503" w14:textId="77777777" w:rsidR="00893250" w:rsidRPr="00893250" w:rsidRDefault="00893250" w:rsidP="0067388B">
            <w:pPr>
              <w:tabs>
                <w:tab w:val="left" w:pos="319"/>
              </w:tabs>
              <w:jc w:val="center"/>
              <w:rPr>
                <w:szCs w:val="24"/>
                <w:lang w:eastAsia="en-US"/>
              </w:rPr>
            </w:pPr>
            <w:r w:rsidRPr="00893250">
              <w:rPr>
                <w:szCs w:val="24"/>
              </w:rPr>
              <w:t>2024 m.</w:t>
            </w:r>
          </w:p>
        </w:tc>
      </w:tr>
      <w:tr w:rsidR="00893250" w:rsidRPr="00893250" w14:paraId="1F160924" w14:textId="77777777" w:rsidTr="0067388B">
        <w:trPr>
          <w:trHeight w:val="283"/>
        </w:trPr>
        <w:tc>
          <w:tcPr>
            <w:tcW w:w="2666" w:type="dxa"/>
            <w:vMerge/>
            <w:tcBorders>
              <w:left w:val="single" w:sz="4" w:space="0" w:color="auto"/>
              <w:right w:val="single" w:sz="4" w:space="0" w:color="auto"/>
            </w:tcBorders>
          </w:tcPr>
          <w:p w14:paraId="7A59E335"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656E5739" w14:textId="77777777" w:rsidR="00893250" w:rsidRPr="00893250" w:rsidRDefault="00893250" w:rsidP="0067388B">
            <w:pPr>
              <w:rPr>
                <w:szCs w:val="24"/>
                <w:lang w:eastAsia="en-US"/>
              </w:rPr>
            </w:pPr>
            <w:r w:rsidRPr="00893250">
              <w:rPr>
                <w:szCs w:val="24"/>
                <w:lang w:eastAsia="en-US"/>
              </w:rPr>
              <w:t>Pedagoginių darbuotojų ir etatų skaičius</w:t>
            </w:r>
          </w:p>
        </w:tc>
        <w:tc>
          <w:tcPr>
            <w:tcW w:w="3118" w:type="dxa"/>
            <w:tcBorders>
              <w:top w:val="single" w:sz="4" w:space="0" w:color="auto"/>
              <w:left w:val="single" w:sz="4" w:space="0" w:color="auto"/>
              <w:right w:val="single" w:sz="4" w:space="0" w:color="auto"/>
            </w:tcBorders>
          </w:tcPr>
          <w:p w14:paraId="5514FFFF" w14:textId="77777777" w:rsidR="00893250" w:rsidRPr="00893250" w:rsidRDefault="00893250" w:rsidP="0067388B">
            <w:pPr>
              <w:tabs>
                <w:tab w:val="left" w:pos="319"/>
              </w:tabs>
              <w:jc w:val="center"/>
              <w:rPr>
                <w:szCs w:val="24"/>
                <w:lang w:eastAsia="en-US"/>
              </w:rPr>
            </w:pPr>
            <w:r w:rsidRPr="00893250">
              <w:rPr>
                <w:szCs w:val="24"/>
                <w:lang w:eastAsia="en-US"/>
              </w:rPr>
              <w:t>39 (30,94)</w:t>
            </w:r>
          </w:p>
        </w:tc>
        <w:tc>
          <w:tcPr>
            <w:tcW w:w="2978" w:type="dxa"/>
            <w:tcBorders>
              <w:top w:val="single" w:sz="4" w:space="0" w:color="auto"/>
              <w:left w:val="single" w:sz="4" w:space="0" w:color="auto"/>
              <w:right w:val="single" w:sz="4" w:space="0" w:color="auto"/>
            </w:tcBorders>
          </w:tcPr>
          <w:p w14:paraId="21ADAEC2" w14:textId="77777777" w:rsidR="00893250" w:rsidRPr="00893250" w:rsidRDefault="00893250" w:rsidP="0067388B">
            <w:pPr>
              <w:tabs>
                <w:tab w:val="left" w:pos="319"/>
              </w:tabs>
              <w:jc w:val="center"/>
              <w:rPr>
                <w:szCs w:val="24"/>
                <w:lang w:eastAsia="en-US"/>
              </w:rPr>
            </w:pPr>
            <w:r w:rsidRPr="00893250">
              <w:rPr>
                <w:szCs w:val="24"/>
              </w:rPr>
              <w:t>83 (73,36)</w:t>
            </w:r>
          </w:p>
        </w:tc>
      </w:tr>
      <w:tr w:rsidR="00893250" w:rsidRPr="00893250" w14:paraId="43E36581" w14:textId="77777777" w:rsidTr="0067388B">
        <w:trPr>
          <w:trHeight w:val="283"/>
        </w:trPr>
        <w:tc>
          <w:tcPr>
            <w:tcW w:w="2666" w:type="dxa"/>
            <w:vMerge/>
            <w:tcBorders>
              <w:left w:val="single" w:sz="4" w:space="0" w:color="auto"/>
              <w:right w:val="single" w:sz="4" w:space="0" w:color="auto"/>
            </w:tcBorders>
          </w:tcPr>
          <w:p w14:paraId="2B697A8D"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088F5036" w14:textId="77777777" w:rsidR="00893250" w:rsidRPr="00893250" w:rsidRDefault="00893250" w:rsidP="0067388B">
            <w:pPr>
              <w:rPr>
                <w:szCs w:val="24"/>
                <w:lang w:eastAsia="en-US"/>
              </w:rPr>
            </w:pPr>
            <w:r w:rsidRPr="00893250">
              <w:rPr>
                <w:szCs w:val="24"/>
                <w:lang w:eastAsia="en-US"/>
              </w:rPr>
              <w:t>Aptarnaujančio personalo ir etatų skaičius</w:t>
            </w:r>
          </w:p>
        </w:tc>
        <w:tc>
          <w:tcPr>
            <w:tcW w:w="3118" w:type="dxa"/>
            <w:tcBorders>
              <w:left w:val="single" w:sz="4" w:space="0" w:color="auto"/>
              <w:right w:val="single" w:sz="4" w:space="0" w:color="auto"/>
            </w:tcBorders>
          </w:tcPr>
          <w:p w14:paraId="7D04EB0D" w14:textId="77777777" w:rsidR="00893250" w:rsidRPr="00893250" w:rsidRDefault="00893250" w:rsidP="0067388B">
            <w:pPr>
              <w:tabs>
                <w:tab w:val="left" w:pos="319"/>
              </w:tabs>
              <w:jc w:val="center"/>
              <w:rPr>
                <w:szCs w:val="24"/>
                <w:lang w:eastAsia="en-US"/>
              </w:rPr>
            </w:pPr>
            <w:r w:rsidRPr="00893250">
              <w:rPr>
                <w:szCs w:val="24"/>
                <w:lang w:eastAsia="en-US"/>
              </w:rPr>
              <w:t>35 (33,37)</w:t>
            </w:r>
          </w:p>
        </w:tc>
        <w:tc>
          <w:tcPr>
            <w:tcW w:w="2978" w:type="dxa"/>
            <w:tcBorders>
              <w:left w:val="single" w:sz="4" w:space="0" w:color="auto"/>
              <w:right w:val="single" w:sz="4" w:space="0" w:color="auto"/>
            </w:tcBorders>
          </w:tcPr>
          <w:p w14:paraId="40BA3DD8" w14:textId="77777777" w:rsidR="00893250" w:rsidRPr="00893250" w:rsidRDefault="00893250" w:rsidP="0067388B">
            <w:pPr>
              <w:tabs>
                <w:tab w:val="left" w:pos="319"/>
              </w:tabs>
              <w:jc w:val="center"/>
              <w:rPr>
                <w:szCs w:val="24"/>
                <w:lang w:eastAsia="en-US"/>
              </w:rPr>
            </w:pPr>
            <w:r w:rsidRPr="00893250">
              <w:rPr>
                <w:szCs w:val="24"/>
              </w:rPr>
              <w:t>67 (57,45)</w:t>
            </w:r>
          </w:p>
        </w:tc>
      </w:tr>
      <w:tr w:rsidR="00893250" w:rsidRPr="00893250" w14:paraId="3B63B1FA" w14:textId="77777777" w:rsidTr="0067388B">
        <w:trPr>
          <w:trHeight w:val="283"/>
        </w:trPr>
        <w:tc>
          <w:tcPr>
            <w:tcW w:w="2666" w:type="dxa"/>
            <w:vMerge/>
            <w:tcBorders>
              <w:left w:val="single" w:sz="4" w:space="0" w:color="auto"/>
              <w:right w:val="single" w:sz="4" w:space="0" w:color="auto"/>
            </w:tcBorders>
          </w:tcPr>
          <w:p w14:paraId="05B9DE22"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468B70C7" w14:textId="77777777" w:rsidR="00893250" w:rsidRPr="00893250" w:rsidRDefault="00893250" w:rsidP="0067388B">
            <w:pPr>
              <w:rPr>
                <w:szCs w:val="24"/>
                <w:lang w:eastAsia="en-US"/>
              </w:rPr>
            </w:pPr>
            <w:r w:rsidRPr="00893250">
              <w:rPr>
                <w:szCs w:val="24"/>
                <w:lang w:eastAsia="en-US"/>
              </w:rPr>
              <w:t>Mokinių skaičius</w:t>
            </w:r>
          </w:p>
        </w:tc>
        <w:tc>
          <w:tcPr>
            <w:tcW w:w="3118" w:type="dxa"/>
            <w:tcBorders>
              <w:left w:val="single" w:sz="4" w:space="0" w:color="auto"/>
              <w:right w:val="single" w:sz="4" w:space="0" w:color="auto"/>
            </w:tcBorders>
          </w:tcPr>
          <w:p w14:paraId="6E72657F" w14:textId="77777777" w:rsidR="00893250" w:rsidRPr="00893250" w:rsidRDefault="00893250" w:rsidP="0067388B">
            <w:pPr>
              <w:tabs>
                <w:tab w:val="left" w:pos="319"/>
              </w:tabs>
              <w:jc w:val="center"/>
              <w:rPr>
                <w:szCs w:val="24"/>
                <w:lang w:eastAsia="en-US"/>
              </w:rPr>
            </w:pPr>
            <w:r w:rsidRPr="00893250">
              <w:rPr>
                <w:szCs w:val="24"/>
                <w:lang w:eastAsia="en-US"/>
              </w:rPr>
              <w:t>292</w:t>
            </w:r>
          </w:p>
        </w:tc>
        <w:tc>
          <w:tcPr>
            <w:tcW w:w="2978" w:type="dxa"/>
            <w:tcBorders>
              <w:left w:val="single" w:sz="4" w:space="0" w:color="auto"/>
              <w:right w:val="single" w:sz="4" w:space="0" w:color="auto"/>
            </w:tcBorders>
          </w:tcPr>
          <w:p w14:paraId="35ACA5DC" w14:textId="77777777" w:rsidR="00893250" w:rsidRPr="00893250" w:rsidRDefault="00893250" w:rsidP="0067388B">
            <w:pPr>
              <w:tabs>
                <w:tab w:val="left" w:pos="319"/>
              </w:tabs>
              <w:jc w:val="center"/>
              <w:rPr>
                <w:szCs w:val="24"/>
                <w:lang w:eastAsia="en-US"/>
              </w:rPr>
            </w:pPr>
            <w:r w:rsidRPr="00893250">
              <w:rPr>
                <w:szCs w:val="24"/>
              </w:rPr>
              <w:t>450</w:t>
            </w:r>
          </w:p>
        </w:tc>
      </w:tr>
      <w:tr w:rsidR="00893250" w:rsidRPr="00893250" w14:paraId="14145662" w14:textId="77777777" w:rsidTr="0067388B">
        <w:trPr>
          <w:trHeight w:val="283"/>
        </w:trPr>
        <w:tc>
          <w:tcPr>
            <w:tcW w:w="2666" w:type="dxa"/>
            <w:vMerge/>
            <w:tcBorders>
              <w:left w:val="single" w:sz="4" w:space="0" w:color="auto"/>
              <w:right w:val="single" w:sz="4" w:space="0" w:color="auto"/>
            </w:tcBorders>
          </w:tcPr>
          <w:p w14:paraId="7AAFA17A"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3ED2C779" w14:textId="77777777" w:rsidR="00893250" w:rsidRPr="00893250" w:rsidRDefault="00893250" w:rsidP="0067388B">
            <w:pPr>
              <w:rPr>
                <w:szCs w:val="24"/>
                <w:lang w:eastAsia="en-US"/>
              </w:rPr>
            </w:pPr>
            <w:r w:rsidRPr="00893250">
              <w:rPr>
                <w:szCs w:val="24"/>
                <w:lang w:eastAsia="en-US"/>
              </w:rPr>
              <w:t>Ikimokyklinukų skaičius</w:t>
            </w:r>
          </w:p>
        </w:tc>
        <w:tc>
          <w:tcPr>
            <w:tcW w:w="3118" w:type="dxa"/>
            <w:tcBorders>
              <w:left w:val="single" w:sz="4" w:space="0" w:color="auto"/>
              <w:right w:val="single" w:sz="4" w:space="0" w:color="auto"/>
            </w:tcBorders>
          </w:tcPr>
          <w:p w14:paraId="373B3411" w14:textId="77777777" w:rsidR="00893250" w:rsidRPr="00893250" w:rsidRDefault="00893250" w:rsidP="0067388B">
            <w:pPr>
              <w:tabs>
                <w:tab w:val="left" w:pos="319"/>
              </w:tabs>
              <w:jc w:val="center"/>
              <w:rPr>
                <w:szCs w:val="24"/>
                <w:lang w:eastAsia="en-US"/>
              </w:rPr>
            </w:pPr>
            <w:r w:rsidRPr="00893250">
              <w:rPr>
                <w:szCs w:val="24"/>
                <w:lang w:eastAsia="en-US"/>
              </w:rPr>
              <w:t>-</w:t>
            </w:r>
          </w:p>
        </w:tc>
        <w:tc>
          <w:tcPr>
            <w:tcW w:w="2978" w:type="dxa"/>
            <w:tcBorders>
              <w:left w:val="single" w:sz="4" w:space="0" w:color="auto"/>
              <w:right w:val="single" w:sz="4" w:space="0" w:color="auto"/>
            </w:tcBorders>
          </w:tcPr>
          <w:p w14:paraId="7549321C" w14:textId="77777777" w:rsidR="00893250" w:rsidRPr="00893250" w:rsidRDefault="00893250" w:rsidP="0067388B">
            <w:pPr>
              <w:tabs>
                <w:tab w:val="left" w:pos="319"/>
              </w:tabs>
              <w:jc w:val="center"/>
              <w:rPr>
                <w:szCs w:val="24"/>
                <w:lang w:eastAsia="en-US"/>
              </w:rPr>
            </w:pPr>
            <w:r w:rsidRPr="00893250">
              <w:rPr>
                <w:szCs w:val="24"/>
              </w:rPr>
              <w:t>24</w:t>
            </w:r>
          </w:p>
        </w:tc>
      </w:tr>
      <w:tr w:rsidR="00893250" w:rsidRPr="00893250" w14:paraId="54879C62" w14:textId="77777777" w:rsidTr="0067388B">
        <w:trPr>
          <w:trHeight w:val="283"/>
        </w:trPr>
        <w:tc>
          <w:tcPr>
            <w:tcW w:w="2666" w:type="dxa"/>
            <w:vMerge/>
            <w:tcBorders>
              <w:left w:val="single" w:sz="4" w:space="0" w:color="auto"/>
              <w:right w:val="single" w:sz="4" w:space="0" w:color="auto"/>
            </w:tcBorders>
          </w:tcPr>
          <w:p w14:paraId="6B42AAF7"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77A5BCDD" w14:textId="77777777" w:rsidR="00893250" w:rsidRPr="00893250" w:rsidRDefault="00893250" w:rsidP="0067388B">
            <w:pPr>
              <w:rPr>
                <w:szCs w:val="24"/>
                <w:lang w:eastAsia="en-US"/>
              </w:rPr>
            </w:pPr>
            <w:proofErr w:type="spellStart"/>
            <w:r w:rsidRPr="00893250">
              <w:rPr>
                <w:szCs w:val="24"/>
                <w:lang w:eastAsia="en-US"/>
              </w:rPr>
              <w:t>Priešmokyklinukų</w:t>
            </w:r>
            <w:proofErr w:type="spellEnd"/>
            <w:r w:rsidRPr="00893250">
              <w:rPr>
                <w:szCs w:val="24"/>
                <w:lang w:eastAsia="en-US"/>
              </w:rPr>
              <w:t xml:space="preserve"> skaičius</w:t>
            </w:r>
          </w:p>
        </w:tc>
        <w:tc>
          <w:tcPr>
            <w:tcW w:w="3118" w:type="dxa"/>
            <w:tcBorders>
              <w:left w:val="single" w:sz="4" w:space="0" w:color="auto"/>
              <w:right w:val="single" w:sz="4" w:space="0" w:color="auto"/>
            </w:tcBorders>
          </w:tcPr>
          <w:p w14:paraId="2C4B634C" w14:textId="77777777" w:rsidR="00893250" w:rsidRPr="00893250" w:rsidRDefault="00893250" w:rsidP="0067388B">
            <w:pPr>
              <w:tabs>
                <w:tab w:val="left" w:pos="319"/>
              </w:tabs>
              <w:jc w:val="center"/>
              <w:rPr>
                <w:szCs w:val="24"/>
                <w:lang w:eastAsia="en-US"/>
              </w:rPr>
            </w:pPr>
            <w:r w:rsidRPr="00893250">
              <w:rPr>
                <w:szCs w:val="24"/>
                <w:lang w:eastAsia="en-US"/>
              </w:rPr>
              <w:t>-</w:t>
            </w:r>
          </w:p>
        </w:tc>
        <w:tc>
          <w:tcPr>
            <w:tcW w:w="2978" w:type="dxa"/>
            <w:tcBorders>
              <w:left w:val="single" w:sz="4" w:space="0" w:color="auto"/>
              <w:right w:val="single" w:sz="4" w:space="0" w:color="auto"/>
            </w:tcBorders>
          </w:tcPr>
          <w:p w14:paraId="632D1B92" w14:textId="77777777" w:rsidR="00893250" w:rsidRPr="00893250" w:rsidRDefault="00893250" w:rsidP="0067388B">
            <w:pPr>
              <w:tabs>
                <w:tab w:val="left" w:pos="319"/>
              </w:tabs>
              <w:jc w:val="center"/>
              <w:rPr>
                <w:szCs w:val="24"/>
                <w:lang w:eastAsia="en-US"/>
              </w:rPr>
            </w:pPr>
            <w:r w:rsidRPr="00893250">
              <w:rPr>
                <w:szCs w:val="24"/>
              </w:rPr>
              <w:t>22</w:t>
            </w:r>
          </w:p>
        </w:tc>
      </w:tr>
      <w:tr w:rsidR="00893250" w:rsidRPr="00893250" w14:paraId="5AB34411" w14:textId="77777777" w:rsidTr="0067388B">
        <w:trPr>
          <w:trHeight w:val="283"/>
        </w:trPr>
        <w:tc>
          <w:tcPr>
            <w:tcW w:w="2666" w:type="dxa"/>
            <w:vMerge/>
            <w:tcBorders>
              <w:left w:val="single" w:sz="4" w:space="0" w:color="auto"/>
              <w:right w:val="single" w:sz="4" w:space="0" w:color="auto"/>
            </w:tcBorders>
          </w:tcPr>
          <w:p w14:paraId="71874E77"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6EDA1686" w14:textId="77777777" w:rsidR="00893250" w:rsidRPr="00893250" w:rsidRDefault="00893250" w:rsidP="0067388B">
            <w:pPr>
              <w:rPr>
                <w:szCs w:val="24"/>
                <w:lang w:eastAsia="en-US"/>
              </w:rPr>
            </w:pPr>
            <w:r w:rsidRPr="00893250">
              <w:rPr>
                <w:szCs w:val="24"/>
                <w:lang w:eastAsia="en-US"/>
              </w:rPr>
              <w:t>Bendras ugdomų ir mokomų asmenų skaičius</w:t>
            </w:r>
          </w:p>
        </w:tc>
        <w:tc>
          <w:tcPr>
            <w:tcW w:w="3118" w:type="dxa"/>
            <w:tcBorders>
              <w:left w:val="single" w:sz="4" w:space="0" w:color="auto"/>
              <w:right w:val="single" w:sz="4" w:space="0" w:color="auto"/>
            </w:tcBorders>
          </w:tcPr>
          <w:p w14:paraId="3F9F1714" w14:textId="77777777" w:rsidR="00893250" w:rsidRPr="00893250" w:rsidRDefault="00893250" w:rsidP="0067388B">
            <w:pPr>
              <w:tabs>
                <w:tab w:val="left" w:pos="319"/>
              </w:tabs>
              <w:jc w:val="center"/>
              <w:rPr>
                <w:szCs w:val="24"/>
                <w:lang w:eastAsia="en-US"/>
              </w:rPr>
            </w:pPr>
            <w:r w:rsidRPr="00893250">
              <w:rPr>
                <w:szCs w:val="24"/>
                <w:lang w:eastAsia="en-US"/>
              </w:rPr>
              <w:t>292</w:t>
            </w:r>
          </w:p>
        </w:tc>
        <w:tc>
          <w:tcPr>
            <w:tcW w:w="2978" w:type="dxa"/>
            <w:tcBorders>
              <w:left w:val="single" w:sz="4" w:space="0" w:color="auto"/>
              <w:right w:val="single" w:sz="4" w:space="0" w:color="auto"/>
            </w:tcBorders>
          </w:tcPr>
          <w:p w14:paraId="5545329B" w14:textId="77777777" w:rsidR="00893250" w:rsidRPr="00893250" w:rsidRDefault="00893250" w:rsidP="0067388B">
            <w:pPr>
              <w:tabs>
                <w:tab w:val="left" w:pos="319"/>
              </w:tabs>
              <w:jc w:val="center"/>
              <w:rPr>
                <w:szCs w:val="24"/>
                <w:lang w:eastAsia="en-US"/>
              </w:rPr>
            </w:pPr>
            <w:r w:rsidRPr="00893250">
              <w:rPr>
                <w:szCs w:val="24"/>
              </w:rPr>
              <w:t>496</w:t>
            </w:r>
          </w:p>
        </w:tc>
      </w:tr>
      <w:tr w:rsidR="00893250" w:rsidRPr="00893250" w14:paraId="32530BCB" w14:textId="77777777" w:rsidTr="0067388B">
        <w:trPr>
          <w:trHeight w:val="283"/>
        </w:trPr>
        <w:tc>
          <w:tcPr>
            <w:tcW w:w="2666" w:type="dxa"/>
            <w:vMerge/>
            <w:tcBorders>
              <w:left w:val="single" w:sz="4" w:space="0" w:color="auto"/>
              <w:right w:val="single" w:sz="4" w:space="0" w:color="auto"/>
            </w:tcBorders>
          </w:tcPr>
          <w:p w14:paraId="2A471F43"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05871413" w14:textId="77777777" w:rsidR="00893250" w:rsidRPr="00893250" w:rsidRDefault="00893250" w:rsidP="0067388B">
            <w:pPr>
              <w:rPr>
                <w:szCs w:val="24"/>
                <w:lang w:eastAsia="en-US"/>
              </w:rPr>
            </w:pPr>
            <w:r w:rsidRPr="00893250">
              <w:rPr>
                <w:szCs w:val="24"/>
                <w:lang w:eastAsia="en-US"/>
              </w:rPr>
              <w:t xml:space="preserve">Pavežamų asmenų skaičius ir procentas nuo visų mokinių ir </w:t>
            </w:r>
            <w:proofErr w:type="spellStart"/>
            <w:r w:rsidRPr="00893250">
              <w:rPr>
                <w:szCs w:val="24"/>
                <w:lang w:eastAsia="en-US"/>
              </w:rPr>
              <w:t>priešmokyklinukų</w:t>
            </w:r>
            <w:proofErr w:type="spellEnd"/>
            <w:r w:rsidRPr="00893250">
              <w:rPr>
                <w:szCs w:val="24"/>
                <w:lang w:eastAsia="en-US"/>
              </w:rPr>
              <w:t xml:space="preserve"> skaičiaus</w:t>
            </w:r>
          </w:p>
        </w:tc>
        <w:tc>
          <w:tcPr>
            <w:tcW w:w="3118" w:type="dxa"/>
            <w:tcBorders>
              <w:left w:val="single" w:sz="4" w:space="0" w:color="auto"/>
              <w:right w:val="single" w:sz="4" w:space="0" w:color="auto"/>
            </w:tcBorders>
          </w:tcPr>
          <w:p w14:paraId="2A19E25D" w14:textId="77777777" w:rsidR="00893250" w:rsidRPr="00893250" w:rsidRDefault="00893250" w:rsidP="0067388B">
            <w:pPr>
              <w:tabs>
                <w:tab w:val="left" w:pos="319"/>
              </w:tabs>
              <w:jc w:val="center"/>
              <w:rPr>
                <w:szCs w:val="24"/>
                <w:lang w:eastAsia="en-US"/>
              </w:rPr>
            </w:pPr>
            <w:r w:rsidRPr="00893250">
              <w:rPr>
                <w:szCs w:val="24"/>
              </w:rPr>
              <w:t>18 (6,1 %)</w:t>
            </w:r>
          </w:p>
        </w:tc>
        <w:tc>
          <w:tcPr>
            <w:tcW w:w="2978" w:type="dxa"/>
            <w:tcBorders>
              <w:left w:val="single" w:sz="4" w:space="0" w:color="auto"/>
              <w:right w:val="single" w:sz="4" w:space="0" w:color="auto"/>
            </w:tcBorders>
          </w:tcPr>
          <w:p w14:paraId="3E0DCBDF" w14:textId="77777777" w:rsidR="00893250" w:rsidRPr="00893250" w:rsidRDefault="00893250" w:rsidP="0067388B">
            <w:pPr>
              <w:tabs>
                <w:tab w:val="left" w:pos="319"/>
              </w:tabs>
              <w:jc w:val="center"/>
              <w:rPr>
                <w:szCs w:val="24"/>
                <w:lang w:eastAsia="en-US"/>
              </w:rPr>
            </w:pPr>
            <w:r w:rsidRPr="00893250">
              <w:rPr>
                <w:szCs w:val="24"/>
              </w:rPr>
              <w:t>43 (8,69 %)</w:t>
            </w:r>
          </w:p>
        </w:tc>
      </w:tr>
      <w:tr w:rsidR="00893250" w:rsidRPr="00893250" w14:paraId="5D9411B9" w14:textId="77777777" w:rsidTr="0067388B">
        <w:trPr>
          <w:trHeight w:val="283"/>
        </w:trPr>
        <w:tc>
          <w:tcPr>
            <w:tcW w:w="2666" w:type="dxa"/>
            <w:vMerge/>
            <w:tcBorders>
              <w:left w:val="single" w:sz="4" w:space="0" w:color="auto"/>
              <w:bottom w:val="single" w:sz="4" w:space="0" w:color="auto"/>
              <w:right w:val="single" w:sz="4" w:space="0" w:color="auto"/>
            </w:tcBorders>
          </w:tcPr>
          <w:p w14:paraId="36F84629" w14:textId="77777777" w:rsidR="00893250" w:rsidRPr="00893250" w:rsidRDefault="00893250" w:rsidP="0067388B">
            <w:pPr>
              <w:rPr>
                <w:szCs w:val="24"/>
                <w:lang w:eastAsia="en-US"/>
              </w:rPr>
            </w:pPr>
          </w:p>
        </w:tc>
        <w:tc>
          <w:tcPr>
            <w:tcW w:w="5726" w:type="dxa"/>
            <w:tcBorders>
              <w:top w:val="single" w:sz="4" w:space="0" w:color="auto"/>
              <w:left w:val="single" w:sz="4" w:space="0" w:color="auto"/>
              <w:bottom w:val="single" w:sz="4" w:space="0" w:color="auto"/>
              <w:right w:val="single" w:sz="4" w:space="0" w:color="auto"/>
            </w:tcBorders>
          </w:tcPr>
          <w:p w14:paraId="6DA85D72" w14:textId="77777777" w:rsidR="00893250" w:rsidRPr="00893250" w:rsidRDefault="00893250" w:rsidP="0067388B">
            <w:pPr>
              <w:rPr>
                <w:szCs w:val="24"/>
                <w:lang w:eastAsia="en-US"/>
              </w:rPr>
            </w:pPr>
            <w:r w:rsidRPr="00893250">
              <w:rPr>
                <w:szCs w:val="24"/>
                <w:lang w:eastAsia="en-US"/>
              </w:rPr>
              <w:t xml:space="preserve">Nemokamai maitinamų asmenų skaičius ir procentas nuo visų mokinių ir </w:t>
            </w:r>
            <w:proofErr w:type="spellStart"/>
            <w:r w:rsidRPr="00893250">
              <w:rPr>
                <w:szCs w:val="24"/>
                <w:lang w:eastAsia="en-US"/>
              </w:rPr>
              <w:t>priešmokyklinukų</w:t>
            </w:r>
            <w:proofErr w:type="spellEnd"/>
            <w:r w:rsidRPr="00893250">
              <w:rPr>
                <w:szCs w:val="24"/>
                <w:lang w:eastAsia="en-US"/>
              </w:rPr>
              <w:t xml:space="preserve"> skaičiaus</w:t>
            </w:r>
          </w:p>
        </w:tc>
        <w:tc>
          <w:tcPr>
            <w:tcW w:w="3118" w:type="dxa"/>
            <w:tcBorders>
              <w:left w:val="single" w:sz="4" w:space="0" w:color="auto"/>
              <w:bottom w:val="single" w:sz="4" w:space="0" w:color="auto"/>
              <w:right w:val="single" w:sz="4" w:space="0" w:color="auto"/>
            </w:tcBorders>
          </w:tcPr>
          <w:p w14:paraId="6F15D459" w14:textId="77777777" w:rsidR="00893250" w:rsidRPr="00893250" w:rsidRDefault="00893250" w:rsidP="0067388B">
            <w:pPr>
              <w:tabs>
                <w:tab w:val="left" w:pos="319"/>
              </w:tabs>
              <w:jc w:val="center"/>
              <w:rPr>
                <w:szCs w:val="24"/>
              </w:rPr>
            </w:pPr>
            <w:r w:rsidRPr="00893250">
              <w:rPr>
                <w:szCs w:val="24"/>
              </w:rPr>
              <w:t>124 (47,9 %)</w:t>
            </w:r>
          </w:p>
        </w:tc>
        <w:tc>
          <w:tcPr>
            <w:tcW w:w="2978" w:type="dxa"/>
            <w:tcBorders>
              <w:left w:val="single" w:sz="4" w:space="0" w:color="auto"/>
              <w:bottom w:val="single" w:sz="4" w:space="0" w:color="auto"/>
              <w:right w:val="single" w:sz="4" w:space="0" w:color="auto"/>
            </w:tcBorders>
          </w:tcPr>
          <w:p w14:paraId="338056F0" w14:textId="77777777" w:rsidR="00893250" w:rsidRPr="00893250" w:rsidRDefault="00893250" w:rsidP="0067388B">
            <w:pPr>
              <w:tabs>
                <w:tab w:val="left" w:pos="319"/>
              </w:tabs>
              <w:jc w:val="center"/>
              <w:rPr>
                <w:szCs w:val="24"/>
                <w:lang w:eastAsia="en-US"/>
              </w:rPr>
            </w:pPr>
            <w:r w:rsidRPr="00893250">
              <w:rPr>
                <w:szCs w:val="24"/>
              </w:rPr>
              <w:t>220 (46,70 %)</w:t>
            </w:r>
          </w:p>
        </w:tc>
      </w:tr>
    </w:tbl>
    <w:p w14:paraId="794C686E" w14:textId="77777777" w:rsidR="00893250" w:rsidRPr="00893250" w:rsidRDefault="00893250" w:rsidP="00893250">
      <w:pPr>
        <w:suppressAutoHyphens/>
        <w:spacing w:before="120"/>
        <w:jc w:val="center"/>
        <w:textAlignment w:val="baseline"/>
        <w:rPr>
          <w:b/>
          <w:bCs/>
          <w:szCs w:val="24"/>
        </w:rPr>
      </w:pPr>
      <w:r w:rsidRPr="00893250">
        <w:rPr>
          <w:b/>
          <w:bCs/>
          <w:szCs w:val="24"/>
        </w:rPr>
        <w:lastRenderedPageBreak/>
        <w:t xml:space="preserve">II SKYRIUS. </w:t>
      </w:r>
    </w:p>
    <w:p w14:paraId="034F460A" w14:textId="77777777" w:rsidR="00893250" w:rsidRPr="00893250" w:rsidRDefault="00893250" w:rsidP="00893250">
      <w:pPr>
        <w:suppressAutoHyphens/>
        <w:spacing w:after="120"/>
        <w:jc w:val="center"/>
        <w:textAlignment w:val="baseline"/>
        <w:rPr>
          <w:b/>
          <w:bCs/>
          <w:szCs w:val="24"/>
        </w:rPr>
      </w:pPr>
      <w:r w:rsidRPr="00893250">
        <w:rPr>
          <w:b/>
          <w:bCs/>
          <w:szCs w:val="24"/>
        </w:rPr>
        <w:t>ĮSTAIGOS PLANŲ IR PROGRAMŲ ĮGYVENDINIMAS</w:t>
      </w:r>
    </w:p>
    <w:p w14:paraId="133EADB3" w14:textId="77777777" w:rsidR="00893250" w:rsidRPr="00893250" w:rsidRDefault="00893250" w:rsidP="00893250">
      <w:pPr>
        <w:spacing w:after="30"/>
        <w:ind w:firstLine="720"/>
        <w:contextualSpacing/>
        <w:jc w:val="both"/>
        <w:rPr>
          <w:szCs w:val="24"/>
        </w:rPr>
      </w:pPr>
      <w:r w:rsidRPr="00893250">
        <w:rPr>
          <w:szCs w:val="24"/>
        </w:rPr>
        <w:t xml:space="preserve">2023–2024 mokslo metais 1, 3, 5, 7 klasėse įgyvendinamos 2022 m. atnaujintos Pradinio, pagrindinio ugdymo bendrosios programos, o nuo 2024–2025 mokslo metų ir kitose (2, 4, 6, 8) klasėse. Siekdami įgyvendinti atnaujintas bendrąsias programas, mokytojai užtikrino ugdymo turinio pereinamumą ir nuoseklumą tarp 2008 m. Pradinio, pagrindinio bendrųjų programų ir 2022 m. Pradinio, pagrindinio ugdymo bendrųjų programų. Siekiant, kad mokinių mokymosi procese dėl bendrųjų programų kaitos neliktų mokymosi spragų, buvo sudaryta atnaujinto ugdymo turinio įgyvendinimo priemonių plano sudarymo ir veiklų koordinavimo darbo grupė (2023-02-28, direktoriaus įsakymas Nr. V1–93). </w:t>
      </w:r>
    </w:p>
    <w:p w14:paraId="669A6B1E" w14:textId="77777777" w:rsidR="00893250" w:rsidRPr="00893250" w:rsidRDefault="00893250" w:rsidP="00893250">
      <w:pPr>
        <w:spacing w:after="30"/>
        <w:ind w:firstLine="720"/>
        <w:contextualSpacing/>
        <w:jc w:val="both"/>
        <w:rPr>
          <w:szCs w:val="22"/>
        </w:rPr>
      </w:pPr>
      <w:r w:rsidRPr="00893250">
        <w:rPr>
          <w:rFonts w:eastAsia="Calibri"/>
          <w:bCs/>
          <w:iCs/>
          <w:szCs w:val="24"/>
        </w:rPr>
        <w:t xml:space="preserve">Rengiant 2024–2025 m. m. mokyklos ugdymo planą, metodinėse grupėse aptariamas ugdymo plano įgyvendinimas, pagrindinės naujos ugdymo plano nuostatos, ugdymo plano prioritetai, priimami bendri susitarimai. Anglų kalbos mokymas diferencijuojamas, nuo 5 klasės įvestas pagilintas anglų kalbos mokymas. Mokykloje sudaromos sąlygos lankyti Visos dienos grupę. Kompleksiškai teikiama pagalba mokiniams, turintiems specialiųjų ugdymosi poreikių. Dirbo pagalbos mokiniui specialistų komanda: spec. pedagogas, logopedas, socialinis pedagogas, psichologo asistentas. </w:t>
      </w:r>
    </w:p>
    <w:p w14:paraId="4D0C4C7E" w14:textId="77777777" w:rsidR="00893250" w:rsidRPr="00893250" w:rsidRDefault="00893250" w:rsidP="00893250">
      <w:pPr>
        <w:spacing w:line="256" w:lineRule="auto"/>
        <w:ind w:firstLine="720"/>
        <w:jc w:val="both"/>
        <w:rPr>
          <w:szCs w:val="22"/>
        </w:rPr>
      </w:pPr>
      <w:r w:rsidRPr="00893250">
        <w:rPr>
          <w:szCs w:val="22"/>
        </w:rPr>
        <w:t xml:space="preserve">Tobulinant ugdymo ir priežiūros kokybę, buvo parengtos naujos dokumentų redakcijos: patvirtintos pamokos plano ir pamokos stebėjimo protokolo formos (2024-01-19, </w:t>
      </w:r>
      <w:r w:rsidRPr="00893250">
        <w:rPr>
          <w:szCs w:val="24"/>
        </w:rPr>
        <w:t xml:space="preserve">direktoriaus </w:t>
      </w:r>
      <w:r w:rsidRPr="00893250">
        <w:rPr>
          <w:szCs w:val="22"/>
        </w:rPr>
        <w:t xml:space="preserve">įsakymas Nr. V1-19), patvirtinta nauja pasiekimų ir pažangos vertinimo tvarka (2024-05-24, </w:t>
      </w:r>
      <w:r w:rsidRPr="00893250">
        <w:rPr>
          <w:szCs w:val="24"/>
        </w:rPr>
        <w:t xml:space="preserve">direktoriaus </w:t>
      </w:r>
      <w:r w:rsidRPr="00893250">
        <w:rPr>
          <w:szCs w:val="22"/>
        </w:rPr>
        <w:t xml:space="preserve">įsakymas Nr. V1-157). </w:t>
      </w:r>
    </w:p>
    <w:p w14:paraId="6BDF5B82" w14:textId="77777777" w:rsidR="00893250" w:rsidRPr="00893250" w:rsidRDefault="00893250" w:rsidP="00893250">
      <w:pPr>
        <w:spacing w:line="256" w:lineRule="auto"/>
        <w:ind w:firstLine="720"/>
        <w:jc w:val="both"/>
        <w:rPr>
          <w:rFonts w:eastAsia="Calibri"/>
          <w:bCs/>
          <w:iCs/>
          <w:szCs w:val="24"/>
        </w:rPr>
      </w:pPr>
      <w:r w:rsidRPr="00893250">
        <w:rPr>
          <w:rFonts w:eastAsia="Calibri"/>
          <w:bCs/>
          <w:iCs/>
          <w:szCs w:val="24"/>
        </w:rPr>
        <w:t xml:space="preserve">Mokyklos ugdymo plane numatyta galimybė organizuoti pamokas kitose aplinkose ir nepamokine forma, vesti integruotas pamokas, integruoti įvairias programas ir kitas netradicines veiklas, kurios padeda siekti išsikeltų ugdymo tikslų. Visos nepamokinės veiklos, integruotos pamokos fiksuojamos mokyklos mėnesio veiklos plane. </w:t>
      </w:r>
    </w:p>
    <w:p w14:paraId="72C66CFB" w14:textId="77777777" w:rsidR="00893250" w:rsidRPr="00893250" w:rsidRDefault="00893250" w:rsidP="00893250">
      <w:pPr>
        <w:spacing w:line="256" w:lineRule="auto"/>
        <w:ind w:firstLine="720"/>
        <w:jc w:val="both"/>
        <w:rPr>
          <w:rFonts w:eastAsia="Calibri"/>
          <w:bCs/>
          <w:iCs/>
          <w:szCs w:val="24"/>
        </w:rPr>
      </w:pPr>
      <w:r w:rsidRPr="00893250">
        <w:rPr>
          <w:rFonts w:eastAsia="Calibri"/>
          <w:bCs/>
          <w:iCs/>
          <w:szCs w:val="24"/>
        </w:rPr>
        <w:t xml:space="preserve">Mokykloje vykdomi ilgalaikiai ir trumpalaikiai projektiniai darbai. Trumpalaikių projektų turinys integruojamas į dalyko ugdymo turinį. Ilgalaikiai projektai, integruotos pamokos fiksuojamos ilgalaikiuose dalykų planuose. Įgyvendinant ugdymo turinį, dalykų ir pradinių klasių mokytojai organizuoja „pamokas kitaip“. Mokykloje didelis dėmesys skiriamas mokinių neformaliajam švietimui. </w:t>
      </w:r>
    </w:p>
    <w:p w14:paraId="414FC29C" w14:textId="77777777" w:rsidR="00893250" w:rsidRPr="00893250" w:rsidRDefault="00893250" w:rsidP="00893250">
      <w:pPr>
        <w:spacing w:line="256" w:lineRule="auto"/>
        <w:ind w:firstLine="720"/>
        <w:jc w:val="both"/>
        <w:rPr>
          <w:szCs w:val="24"/>
        </w:rPr>
      </w:pPr>
      <w:r w:rsidRPr="00893250">
        <w:rPr>
          <w:szCs w:val="24"/>
        </w:rPr>
        <w:t>Sėkmingai įgyvendintos programos: etninės kultūros programa 1–9 klasėse integruojama į mokomuosius dalykus ir klasės vadovo veiklą; 1 ir 3 klasėje Gyvenimo įgūdžių programa integruota į visus mokomuosius dalykus ir klasės vadovo veiklą, 5 ir 7 klasėje mokoma kaip atskiras dalykas; korupcijos prevencijos programa 5–8 klasėse integruota į dorinio ugdymo, istorijos mokomuosius dalykus ir klasės vadovo veiklą.</w:t>
      </w:r>
    </w:p>
    <w:p w14:paraId="2BE9A407" w14:textId="77777777" w:rsidR="00893250" w:rsidRPr="00893250" w:rsidRDefault="00893250" w:rsidP="00893250">
      <w:pPr>
        <w:spacing w:line="256" w:lineRule="auto"/>
        <w:ind w:firstLine="720"/>
        <w:jc w:val="both"/>
        <w:rPr>
          <w:szCs w:val="22"/>
        </w:rPr>
      </w:pPr>
      <w:r w:rsidRPr="00893250">
        <w:rPr>
          <w:szCs w:val="22"/>
        </w:rPr>
        <w:t>Mokykla inicijavo mokytojų dalyvavimą konferencijoje „Ugdymo turinio atnaujinimas: ką būtina žinoti?“. Mokytojai taip pat dalyvavo seminare „Mokinio mokymosi sėkmė šiuolaikinėje pamokoje: diferencijavimo ir individualizavimo įtaka mokinių mokymuisi“.</w:t>
      </w:r>
    </w:p>
    <w:p w14:paraId="3D4673B7" w14:textId="77777777" w:rsidR="00893250" w:rsidRPr="00893250" w:rsidRDefault="00893250" w:rsidP="00893250">
      <w:pPr>
        <w:ind w:firstLine="720"/>
        <w:jc w:val="both"/>
        <w:rPr>
          <w:rFonts w:eastAsia="Calibri"/>
          <w:bCs/>
          <w:iCs/>
          <w:szCs w:val="24"/>
        </w:rPr>
      </w:pPr>
      <w:r w:rsidRPr="00893250">
        <w:rPr>
          <w:rFonts w:eastAsia="Calibri"/>
          <w:bCs/>
          <w:iCs/>
          <w:szCs w:val="24"/>
        </w:rPr>
        <w:t xml:space="preserve">Mokyklos mokytojai 2024 m. dalyvavo kvalifikacijos kėlimo renginiuose (894 valandos, kvalifikacijai skirta 2340 eurų). </w:t>
      </w:r>
    </w:p>
    <w:p w14:paraId="52D1FEC8" w14:textId="77777777" w:rsidR="00893250" w:rsidRPr="00893250" w:rsidRDefault="00893250" w:rsidP="00893250">
      <w:pPr>
        <w:ind w:firstLine="720"/>
        <w:jc w:val="both"/>
        <w:rPr>
          <w:rFonts w:eastAsia="Calibri"/>
          <w:szCs w:val="24"/>
          <w:lang w:eastAsia="en-US"/>
        </w:rPr>
      </w:pPr>
      <w:r w:rsidRPr="00893250">
        <w:rPr>
          <w:rFonts w:eastAsia="Calibri"/>
          <w:bCs/>
          <w:iCs/>
          <w:szCs w:val="24"/>
        </w:rPr>
        <w:t xml:space="preserve">2025 m. rugsėjo mėnesį Jurbarko Vytauto Didžiojo pagrindinė mokykla minės 30-ąjį veiklos jubiliejų. </w:t>
      </w:r>
    </w:p>
    <w:p w14:paraId="69684D77" w14:textId="77777777" w:rsidR="00893250" w:rsidRDefault="00893250" w:rsidP="00893250"/>
    <w:p w14:paraId="14679E82" w14:textId="77777777" w:rsidR="00893250" w:rsidRPr="00893250" w:rsidRDefault="00893250" w:rsidP="0089325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gridCol w:w="1560"/>
        <w:gridCol w:w="2465"/>
      </w:tblGrid>
      <w:tr w:rsidR="00893250" w:rsidRPr="00893250" w14:paraId="6066880C" w14:textId="77777777" w:rsidTr="0067388B">
        <w:tc>
          <w:tcPr>
            <w:tcW w:w="4928" w:type="dxa"/>
          </w:tcPr>
          <w:p w14:paraId="6170C6DD" w14:textId="77777777" w:rsidR="00893250" w:rsidRPr="00893250" w:rsidRDefault="00893250" w:rsidP="0067388B">
            <w:pPr>
              <w:jc w:val="both"/>
              <w:rPr>
                <w:rFonts w:eastAsia="Calibri"/>
                <w:szCs w:val="24"/>
              </w:rPr>
            </w:pPr>
            <w:r w:rsidRPr="00893250">
              <w:rPr>
                <w:rFonts w:eastAsia="Calibri"/>
                <w:szCs w:val="24"/>
              </w:rPr>
              <w:t>Direktorė</w:t>
            </w:r>
          </w:p>
        </w:tc>
        <w:tc>
          <w:tcPr>
            <w:tcW w:w="4819" w:type="dxa"/>
            <w:tcBorders>
              <w:bottom w:val="single" w:sz="4" w:space="0" w:color="auto"/>
            </w:tcBorders>
          </w:tcPr>
          <w:p w14:paraId="3E89F70F" w14:textId="77777777" w:rsidR="00893250" w:rsidRPr="00893250" w:rsidRDefault="00893250" w:rsidP="0067388B">
            <w:pPr>
              <w:jc w:val="both"/>
              <w:rPr>
                <w:rFonts w:eastAsia="Calibri"/>
                <w:szCs w:val="24"/>
              </w:rPr>
            </w:pPr>
          </w:p>
        </w:tc>
        <w:tc>
          <w:tcPr>
            <w:tcW w:w="1560" w:type="dxa"/>
          </w:tcPr>
          <w:p w14:paraId="4DD7CE12" w14:textId="77777777" w:rsidR="00893250" w:rsidRPr="00893250" w:rsidRDefault="00893250" w:rsidP="0067388B">
            <w:pPr>
              <w:jc w:val="both"/>
              <w:rPr>
                <w:rFonts w:eastAsia="Calibri"/>
                <w:szCs w:val="24"/>
              </w:rPr>
            </w:pPr>
          </w:p>
        </w:tc>
        <w:tc>
          <w:tcPr>
            <w:tcW w:w="2465" w:type="dxa"/>
            <w:tcBorders>
              <w:bottom w:val="single" w:sz="4" w:space="0" w:color="auto"/>
            </w:tcBorders>
          </w:tcPr>
          <w:p w14:paraId="6B095749" w14:textId="77777777" w:rsidR="00893250" w:rsidRPr="00893250" w:rsidRDefault="00893250" w:rsidP="0067388B">
            <w:pPr>
              <w:jc w:val="both"/>
              <w:rPr>
                <w:rFonts w:eastAsia="Calibri"/>
                <w:szCs w:val="24"/>
              </w:rPr>
            </w:pPr>
            <w:r w:rsidRPr="00893250">
              <w:rPr>
                <w:rFonts w:eastAsia="Calibri"/>
                <w:szCs w:val="24"/>
              </w:rPr>
              <w:t xml:space="preserve">Jurgita </w:t>
            </w:r>
            <w:proofErr w:type="spellStart"/>
            <w:r w:rsidRPr="00893250">
              <w:rPr>
                <w:rFonts w:eastAsia="Calibri"/>
                <w:szCs w:val="24"/>
              </w:rPr>
              <w:t>Volbikienė</w:t>
            </w:r>
            <w:proofErr w:type="spellEnd"/>
          </w:p>
        </w:tc>
      </w:tr>
    </w:tbl>
    <w:p w14:paraId="12856A2F" w14:textId="77777777" w:rsidR="003F75C9" w:rsidRPr="00893250" w:rsidRDefault="003F75C9" w:rsidP="003F75C9"/>
    <w:p w14:paraId="1DD78FE3" w14:textId="77777777" w:rsidR="00D7382F" w:rsidRPr="00893250" w:rsidRDefault="00D7382F" w:rsidP="00D7382F">
      <w:pPr>
        <w:sectPr w:rsidR="00D7382F" w:rsidRPr="00893250" w:rsidSect="00BF2AB3">
          <w:pgSz w:w="16838" w:h="11906" w:orient="landscape" w:code="9"/>
          <w:pgMar w:top="1701" w:right="1134" w:bottom="680" w:left="1134" w:header="1134" w:footer="726" w:gutter="0"/>
          <w:cols w:space="1296"/>
          <w:titlePg/>
          <w:docGrid w:linePitch="360"/>
        </w:sectPr>
      </w:pPr>
    </w:p>
    <w:p w14:paraId="71B7AD8F" w14:textId="77777777" w:rsidR="002E1F99" w:rsidRPr="00893250" w:rsidRDefault="002E1F99" w:rsidP="002E1F99">
      <w:pPr>
        <w:pStyle w:val="Pavadinimas"/>
        <w:jc w:val="left"/>
        <w:rPr>
          <w:b w:val="0"/>
          <w:lang w:val="lt-LT"/>
        </w:rPr>
      </w:pPr>
    </w:p>
    <w:p w14:paraId="2E8A4CB3" w14:textId="38B72B6D" w:rsidR="00B668F0" w:rsidRPr="00893250" w:rsidRDefault="00B668F0" w:rsidP="00B668F0">
      <w:pPr>
        <w:pStyle w:val="Pavadinimas"/>
        <w:pBdr>
          <w:bottom w:val="single" w:sz="12" w:space="1" w:color="auto"/>
        </w:pBdr>
        <w:rPr>
          <w:lang w:val="lt-LT"/>
        </w:rPr>
      </w:pPr>
      <w:r w:rsidRPr="00893250">
        <w:rPr>
          <w:lang w:val="lt-LT"/>
        </w:rPr>
        <w:t>JURBARKO RAJONO SAVIVALDYBĖS ADMINISTRACIJOS</w:t>
      </w:r>
    </w:p>
    <w:p w14:paraId="0AAD2B59" w14:textId="77777777" w:rsidR="00B668F0" w:rsidRPr="00893250" w:rsidRDefault="008F0F3E" w:rsidP="00B668F0">
      <w:pPr>
        <w:pStyle w:val="Pavadinimas"/>
        <w:pBdr>
          <w:bottom w:val="single" w:sz="12" w:space="1" w:color="auto"/>
        </w:pBdr>
        <w:rPr>
          <w:lang w:val="lt-LT"/>
        </w:rPr>
      </w:pPr>
      <w:bookmarkStart w:id="3" w:name="_Hlk163634171"/>
      <w:r w:rsidRPr="00893250">
        <w:rPr>
          <w:lang w:val="lt-LT"/>
        </w:rPr>
        <w:t>ŠVIETIMO, KULTŪROS IR SPORTO SKYRIUS</w:t>
      </w:r>
      <w:bookmarkEnd w:id="3"/>
    </w:p>
    <w:p w14:paraId="3064B147" w14:textId="77777777" w:rsidR="002E1F99" w:rsidRPr="00893250" w:rsidRDefault="002E1F99" w:rsidP="002E1F99">
      <w:pPr>
        <w:pStyle w:val="Paantrat"/>
      </w:pPr>
    </w:p>
    <w:p w14:paraId="21F1B042" w14:textId="77777777" w:rsidR="002E1F99" w:rsidRPr="00893250" w:rsidRDefault="002E1F99" w:rsidP="002E1F99">
      <w:pPr>
        <w:pStyle w:val="Paantrat"/>
      </w:pPr>
      <w:r w:rsidRPr="00893250">
        <w:t>AIŠKINAMASIS RAŠTAS</w:t>
      </w:r>
    </w:p>
    <w:p w14:paraId="5003A80C" w14:textId="4850B3C3" w:rsidR="002E1F99" w:rsidRPr="00893250" w:rsidRDefault="002E1F99" w:rsidP="002E1F99">
      <w:pPr>
        <w:jc w:val="center"/>
        <w:rPr>
          <w:b/>
          <w:bCs/>
          <w:caps/>
        </w:rPr>
      </w:pPr>
      <w:r w:rsidRPr="00893250">
        <w:rPr>
          <w:b/>
          <w:bCs/>
          <w:caps/>
        </w:rPr>
        <w:t>PRIE JURBARKO RAJONO SAVIVALDYBĖS TARYBOS SPRENDIMO „</w:t>
      </w:r>
      <w:r w:rsidR="00E23B6D" w:rsidRPr="00893250">
        <w:rPr>
          <w:b/>
        </w:rPr>
        <w:t>DĖL 2024</w:t>
      </w:r>
      <w:r w:rsidR="00151CD6" w:rsidRPr="00893250">
        <w:rPr>
          <w:b/>
        </w:rPr>
        <w:t> </w:t>
      </w:r>
      <w:r w:rsidR="00E23B6D" w:rsidRPr="00893250">
        <w:rPr>
          <w:b/>
        </w:rPr>
        <w:t xml:space="preserve">METŲ JURBARKO </w:t>
      </w:r>
      <w:r w:rsidR="00207BAE" w:rsidRPr="00893250">
        <w:rPr>
          <w:b/>
        </w:rPr>
        <w:t>VYTAUTO DIDŽIOJO PAGRINDINĖS MOKYKLOS</w:t>
      </w:r>
      <w:r w:rsidR="00E23B6D" w:rsidRPr="00893250">
        <w:rPr>
          <w:b/>
        </w:rPr>
        <w:t xml:space="preserve"> METINIŲ ATASKAITŲ RINKINIO PATVIRTINIMO</w:t>
      </w:r>
      <w:r w:rsidRPr="00893250">
        <w:rPr>
          <w:b/>
          <w:szCs w:val="26"/>
        </w:rPr>
        <w:t>“</w:t>
      </w:r>
      <w:r w:rsidR="00D83E1B" w:rsidRPr="00893250">
        <w:rPr>
          <w:b/>
          <w:szCs w:val="26"/>
        </w:rPr>
        <w:t xml:space="preserve"> </w:t>
      </w:r>
      <w:r w:rsidRPr="00893250">
        <w:rPr>
          <w:b/>
          <w:bCs/>
          <w:caps/>
        </w:rPr>
        <w:t>projekto</w:t>
      </w:r>
    </w:p>
    <w:p w14:paraId="3752A68E" w14:textId="77777777" w:rsidR="002E1F99" w:rsidRPr="00893250" w:rsidRDefault="002E1F99" w:rsidP="002E1F99">
      <w:pPr>
        <w:tabs>
          <w:tab w:val="left" w:pos="567"/>
        </w:tabs>
        <w:jc w:val="center"/>
      </w:pPr>
    </w:p>
    <w:p w14:paraId="78CC7963" w14:textId="276599A7" w:rsidR="00001758" w:rsidRPr="00893250" w:rsidRDefault="00E23B6D" w:rsidP="002E1F99">
      <w:pPr>
        <w:tabs>
          <w:tab w:val="left" w:pos="0"/>
        </w:tabs>
        <w:jc w:val="center"/>
      </w:pPr>
      <w:r w:rsidRPr="00893250">
        <w:t xml:space="preserve">2025 m. gegužės </w:t>
      </w:r>
      <w:r w:rsidR="00632D6F">
        <w:t>8</w:t>
      </w:r>
      <w:r w:rsidRPr="00893250">
        <w:t xml:space="preserve"> d. </w:t>
      </w:r>
    </w:p>
    <w:p w14:paraId="5759C911" w14:textId="77777777" w:rsidR="00D7382F" w:rsidRPr="00893250" w:rsidRDefault="002E1F99" w:rsidP="00D7382F">
      <w:pPr>
        <w:tabs>
          <w:tab w:val="left" w:pos="0"/>
        </w:tabs>
        <w:jc w:val="center"/>
      </w:pPr>
      <w:r w:rsidRPr="00893250">
        <w:t>Jurbarkas</w:t>
      </w:r>
    </w:p>
    <w:p w14:paraId="1F5748A1" w14:textId="77777777" w:rsidR="00151CD6" w:rsidRPr="00893250" w:rsidRDefault="00151CD6" w:rsidP="00D7382F">
      <w:pPr>
        <w:tabs>
          <w:tab w:val="left" w:pos="0"/>
        </w:tabs>
        <w:jc w:val="center"/>
      </w:pPr>
    </w:p>
    <w:tbl>
      <w:tblPr>
        <w:tblW w:w="0" w:type="auto"/>
        <w:tblLook w:val="0000" w:firstRow="0" w:lastRow="0" w:firstColumn="0" w:lastColumn="0" w:noHBand="0" w:noVBand="0"/>
      </w:tblPr>
      <w:tblGrid>
        <w:gridCol w:w="9525"/>
      </w:tblGrid>
      <w:tr w:rsidR="00893250" w:rsidRPr="00893250" w14:paraId="18C95D0E" w14:textId="77777777" w:rsidTr="00592125">
        <w:tc>
          <w:tcPr>
            <w:tcW w:w="9741" w:type="dxa"/>
          </w:tcPr>
          <w:p w14:paraId="2A8385FE" w14:textId="77777777" w:rsidR="00D7382F" w:rsidRPr="00893250" w:rsidRDefault="00D7382F" w:rsidP="00D7382F">
            <w:pPr>
              <w:tabs>
                <w:tab w:val="left" w:pos="0"/>
              </w:tabs>
              <w:jc w:val="both"/>
              <w:rPr>
                <w:b/>
                <w:bCs/>
                <w:i/>
                <w:iCs/>
                <w:szCs w:val="24"/>
              </w:rPr>
            </w:pPr>
            <w:r w:rsidRPr="00893250">
              <w:rPr>
                <w:b/>
                <w:bCs/>
                <w:i/>
                <w:iCs/>
                <w:szCs w:val="24"/>
              </w:rPr>
              <w:t>1. Parengto projekto tikslai ir uždaviniai.</w:t>
            </w:r>
          </w:p>
          <w:p w14:paraId="12B81B92" w14:textId="7576D175" w:rsidR="00D7382F" w:rsidRPr="00893250" w:rsidRDefault="00D7382F" w:rsidP="00D7382F">
            <w:pPr>
              <w:tabs>
                <w:tab w:val="left" w:pos="0"/>
              </w:tabs>
              <w:jc w:val="both"/>
              <w:rPr>
                <w:szCs w:val="24"/>
              </w:rPr>
            </w:pPr>
            <w:r w:rsidRPr="00893250">
              <w:rPr>
                <w:szCs w:val="24"/>
              </w:rPr>
              <w:t xml:space="preserve">Patvirtinti </w:t>
            </w:r>
            <w:r w:rsidR="00207BAE" w:rsidRPr="00893250">
              <w:rPr>
                <w:szCs w:val="24"/>
              </w:rPr>
              <w:t xml:space="preserve">2024 metų </w:t>
            </w:r>
            <w:r w:rsidR="00B36446" w:rsidRPr="00893250">
              <w:rPr>
                <w:szCs w:val="24"/>
              </w:rPr>
              <w:t xml:space="preserve">Jurbarko </w:t>
            </w:r>
            <w:r w:rsidR="00207BAE" w:rsidRPr="00893250">
              <w:rPr>
                <w:szCs w:val="24"/>
              </w:rPr>
              <w:t>Vytauto Didžiojo pagrindinės mokyklos</w:t>
            </w:r>
            <w:r w:rsidR="00B36446" w:rsidRPr="00893250">
              <w:rPr>
                <w:szCs w:val="24"/>
              </w:rPr>
              <w:t xml:space="preserve"> </w:t>
            </w:r>
            <w:r w:rsidRPr="00893250">
              <w:rPr>
                <w:szCs w:val="24"/>
              </w:rPr>
              <w:t>metinių ataskaitų rinkinį:</w:t>
            </w:r>
          </w:p>
          <w:p w14:paraId="3C066FA7" w14:textId="6A4E625F" w:rsidR="00D7382F" w:rsidRPr="00893250" w:rsidRDefault="00D7382F" w:rsidP="00D7382F">
            <w:pPr>
              <w:tabs>
                <w:tab w:val="left" w:pos="0"/>
              </w:tabs>
              <w:jc w:val="both"/>
              <w:rPr>
                <w:szCs w:val="24"/>
              </w:rPr>
            </w:pPr>
            <w:r w:rsidRPr="00893250">
              <w:rPr>
                <w:szCs w:val="24"/>
              </w:rPr>
              <w:t xml:space="preserve">1. Jurbarko </w:t>
            </w:r>
            <w:r w:rsidR="00207BAE" w:rsidRPr="00893250">
              <w:rPr>
                <w:szCs w:val="24"/>
              </w:rPr>
              <w:t xml:space="preserve">Vytauto Didžiojo pagrindinės mokyklos </w:t>
            </w:r>
            <w:r w:rsidRPr="00893250">
              <w:rPr>
                <w:szCs w:val="24"/>
              </w:rPr>
              <w:t>202</w:t>
            </w:r>
            <w:r w:rsidR="002B4AB9" w:rsidRPr="00893250">
              <w:rPr>
                <w:szCs w:val="24"/>
              </w:rPr>
              <w:t>4</w:t>
            </w:r>
            <w:r w:rsidRPr="00893250">
              <w:rPr>
                <w:szCs w:val="24"/>
              </w:rPr>
              <w:t xml:space="preserve"> metų veiklos ataskaitą;</w:t>
            </w:r>
          </w:p>
          <w:p w14:paraId="5DF63BAC" w14:textId="5C20D3DE" w:rsidR="00D7382F" w:rsidRPr="00893250" w:rsidRDefault="00D7382F" w:rsidP="00D7382F">
            <w:pPr>
              <w:tabs>
                <w:tab w:val="left" w:pos="0"/>
              </w:tabs>
              <w:jc w:val="both"/>
              <w:rPr>
                <w:szCs w:val="24"/>
              </w:rPr>
            </w:pPr>
            <w:r w:rsidRPr="00893250">
              <w:rPr>
                <w:szCs w:val="24"/>
              </w:rPr>
              <w:t xml:space="preserve">2. Jurbarko </w:t>
            </w:r>
            <w:r w:rsidR="00207BAE" w:rsidRPr="00893250">
              <w:rPr>
                <w:szCs w:val="24"/>
              </w:rPr>
              <w:t xml:space="preserve">Vytauto Didžiojo pagrindinės mokyklos </w:t>
            </w:r>
            <w:r w:rsidRPr="00893250">
              <w:rPr>
                <w:szCs w:val="24"/>
              </w:rPr>
              <w:t>202</w:t>
            </w:r>
            <w:r w:rsidR="002B4AB9" w:rsidRPr="00893250">
              <w:rPr>
                <w:szCs w:val="24"/>
              </w:rPr>
              <w:t>4</w:t>
            </w:r>
            <w:r w:rsidRPr="00893250">
              <w:rPr>
                <w:szCs w:val="24"/>
              </w:rPr>
              <w:t xml:space="preserve"> metų finansinių ataskaitų rinkinį;</w:t>
            </w:r>
          </w:p>
          <w:p w14:paraId="4A5C25CD" w14:textId="726CC110" w:rsidR="00D7382F" w:rsidRPr="00893250" w:rsidRDefault="00D7382F" w:rsidP="00D7382F">
            <w:pPr>
              <w:tabs>
                <w:tab w:val="left" w:pos="0"/>
              </w:tabs>
              <w:jc w:val="both"/>
              <w:rPr>
                <w:szCs w:val="24"/>
              </w:rPr>
            </w:pPr>
            <w:r w:rsidRPr="00893250">
              <w:rPr>
                <w:szCs w:val="24"/>
              </w:rPr>
              <w:t xml:space="preserve">3. Jurbarko </w:t>
            </w:r>
            <w:r w:rsidR="00207BAE" w:rsidRPr="00893250">
              <w:rPr>
                <w:szCs w:val="24"/>
              </w:rPr>
              <w:t xml:space="preserve">Vytauto Didžiojo pagrindinės mokyklos </w:t>
            </w:r>
            <w:r w:rsidRPr="00893250">
              <w:rPr>
                <w:szCs w:val="24"/>
              </w:rPr>
              <w:t>202</w:t>
            </w:r>
            <w:r w:rsidR="002B4AB9" w:rsidRPr="00893250">
              <w:rPr>
                <w:szCs w:val="24"/>
              </w:rPr>
              <w:t>4</w:t>
            </w:r>
            <w:r w:rsidRPr="00893250">
              <w:rPr>
                <w:szCs w:val="24"/>
              </w:rPr>
              <w:t xml:space="preserve"> metų biudžeto vykdymo ataskaitų rinkinį.</w:t>
            </w:r>
          </w:p>
          <w:p w14:paraId="4C230E07" w14:textId="513785B6" w:rsidR="00D7382F" w:rsidRPr="00893250" w:rsidRDefault="00D7382F" w:rsidP="00D7382F">
            <w:pPr>
              <w:tabs>
                <w:tab w:val="left" w:pos="0"/>
              </w:tabs>
              <w:jc w:val="both"/>
              <w:rPr>
                <w:szCs w:val="24"/>
              </w:rPr>
            </w:pPr>
            <w:r w:rsidRPr="00893250">
              <w:rPr>
                <w:szCs w:val="24"/>
              </w:rPr>
              <w:t xml:space="preserve">Apibendrinti Jurbarko </w:t>
            </w:r>
            <w:r w:rsidR="00207BAE" w:rsidRPr="00893250">
              <w:rPr>
                <w:szCs w:val="24"/>
              </w:rPr>
              <w:t xml:space="preserve">Vytauto Didžiojo pagrindinės mokyklos </w:t>
            </w:r>
            <w:r w:rsidRPr="00893250">
              <w:rPr>
                <w:szCs w:val="24"/>
              </w:rPr>
              <w:t>202</w:t>
            </w:r>
            <w:r w:rsidR="002B4AB9" w:rsidRPr="00893250">
              <w:rPr>
                <w:szCs w:val="24"/>
              </w:rPr>
              <w:t>4</w:t>
            </w:r>
            <w:r w:rsidRPr="00893250">
              <w:rPr>
                <w:szCs w:val="24"/>
              </w:rPr>
              <w:t xml:space="preserve"> metais nuveiktus darbus.</w:t>
            </w:r>
          </w:p>
          <w:p w14:paraId="77DDF33D" w14:textId="7C64BCDE" w:rsidR="00D7382F" w:rsidRPr="00893250" w:rsidRDefault="00D7382F" w:rsidP="00D7382F">
            <w:pPr>
              <w:tabs>
                <w:tab w:val="left" w:pos="0"/>
              </w:tabs>
              <w:jc w:val="both"/>
              <w:rPr>
                <w:szCs w:val="24"/>
              </w:rPr>
            </w:pPr>
            <w:r w:rsidRPr="00893250">
              <w:rPr>
                <w:szCs w:val="24"/>
              </w:rPr>
              <w:t>Palyginti šios įstaigos veiklos pokytį su 202</w:t>
            </w:r>
            <w:r w:rsidR="002B4AB9" w:rsidRPr="00893250">
              <w:rPr>
                <w:szCs w:val="24"/>
              </w:rPr>
              <w:t>3</w:t>
            </w:r>
            <w:r w:rsidRPr="00893250">
              <w:rPr>
                <w:szCs w:val="24"/>
              </w:rPr>
              <w:t xml:space="preserve"> metų veiklos pasiekimais bei kitais rodikliais.</w:t>
            </w:r>
          </w:p>
        </w:tc>
      </w:tr>
      <w:tr w:rsidR="00893250" w:rsidRPr="00893250" w14:paraId="251780C7" w14:textId="77777777" w:rsidTr="00592125">
        <w:tc>
          <w:tcPr>
            <w:tcW w:w="9741" w:type="dxa"/>
          </w:tcPr>
          <w:p w14:paraId="0003992A" w14:textId="77777777" w:rsidR="00D7382F" w:rsidRPr="00893250" w:rsidRDefault="00D7382F" w:rsidP="00D7382F">
            <w:pPr>
              <w:tabs>
                <w:tab w:val="left" w:pos="0"/>
              </w:tabs>
              <w:jc w:val="both"/>
              <w:rPr>
                <w:b/>
                <w:bCs/>
                <w:szCs w:val="24"/>
              </w:rPr>
            </w:pPr>
            <w:r w:rsidRPr="00893250">
              <w:rPr>
                <w:b/>
                <w:bCs/>
                <w:i/>
                <w:iCs/>
                <w:szCs w:val="24"/>
              </w:rPr>
              <w:t>2. Kaip šiuo metu yra sureguliuoti projekte aptarti klausimai.</w:t>
            </w:r>
          </w:p>
        </w:tc>
      </w:tr>
      <w:tr w:rsidR="00893250" w:rsidRPr="00893250" w14:paraId="4716BEF8" w14:textId="77777777" w:rsidTr="00592125">
        <w:tc>
          <w:tcPr>
            <w:tcW w:w="9741" w:type="dxa"/>
          </w:tcPr>
          <w:p w14:paraId="78E80868" w14:textId="77777777" w:rsidR="00E23B6D" w:rsidRPr="00893250" w:rsidRDefault="00E23B6D" w:rsidP="00E23B6D">
            <w:pPr>
              <w:tabs>
                <w:tab w:val="left" w:pos="0"/>
              </w:tabs>
              <w:jc w:val="both"/>
            </w:pPr>
            <w:r w:rsidRPr="00893250">
              <w:t>Lietuvos Respublikos vietos savivaldos įstatymo 15 straipsnio 3 dalies 1 punktas numato, kad paprastoji savivaldybės tarybos kompetencija yra savivaldybės biudžetinių įstaigų metinių ataskaitų rinkinių tvirtinimas.</w:t>
            </w:r>
          </w:p>
          <w:p w14:paraId="78977F67" w14:textId="77777777" w:rsidR="00E23B6D" w:rsidRPr="00893250" w:rsidRDefault="00E23B6D" w:rsidP="00E23B6D">
            <w:pPr>
              <w:tabs>
                <w:tab w:val="left" w:pos="0"/>
              </w:tabs>
              <w:jc w:val="both"/>
            </w:pPr>
            <w:r w:rsidRPr="00893250">
              <w:t>Lietuvos Respublikos viešojo sektoriaus atskaitomybės įstatymo 6 straipsnio 1 dalis nurodo, kad metinių ataskaitų rinkinį sudaro metinė veiklos ataskaita, metinių finansinių ataskaitų rinkinys ir metinių biudžeto vykdymo ataskaitų rinkinys.</w:t>
            </w:r>
          </w:p>
          <w:p w14:paraId="66FF9BE9" w14:textId="77777777" w:rsidR="00E23B6D" w:rsidRPr="00893250" w:rsidRDefault="00E23B6D" w:rsidP="00E23B6D">
            <w:pPr>
              <w:tabs>
                <w:tab w:val="left" w:pos="0"/>
              </w:tabs>
              <w:jc w:val="both"/>
            </w:pPr>
            <w:r w:rsidRPr="00893250">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11B425B1" w14:textId="3A840313" w:rsidR="00D7382F" w:rsidRPr="00893250" w:rsidRDefault="00E23B6D" w:rsidP="00E23B6D">
            <w:pPr>
              <w:tabs>
                <w:tab w:val="left" w:pos="0"/>
              </w:tabs>
              <w:jc w:val="both"/>
              <w:rPr>
                <w:szCs w:val="24"/>
              </w:rPr>
            </w:pPr>
            <w:r w:rsidRPr="00893250">
              <w:t xml:space="preserve">Ataskaitas pateikė Jurbarko </w:t>
            </w:r>
            <w:r w:rsidR="00207BAE" w:rsidRPr="00893250">
              <w:rPr>
                <w:szCs w:val="24"/>
              </w:rPr>
              <w:t xml:space="preserve">Vytauto Didžiojo pagrindinės mokyklos </w:t>
            </w:r>
            <w:r w:rsidRPr="00893250">
              <w:t xml:space="preserve">direktorė </w:t>
            </w:r>
            <w:r w:rsidR="00207BAE" w:rsidRPr="00893250">
              <w:t xml:space="preserve">Jurgita </w:t>
            </w:r>
            <w:proofErr w:type="spellStart"/>
            <w:r w:rsidR="00207BAE" w:rsidRPr="00893250">
              <w:t>Volbikienė</w:t>
            </w:r>
            <w:proofErr w:type="spellEnd"/>
            <w:r w:rsidRPr="00893250">
              <w:t xml:space="preserve"> teisės aktų nustatyta tvarka.</w:t>
            </w:r>
          </w:p>
        </w:tc>
      </w:tr>
      <w:tr w:rsidR="00893250" w:rsidRPr="00893250" w14:paraId="474F079E" w14:textId="77777777" w:rsidTr="00592125">
        <w:tc>
          <w:tcPr>
            <w:tcW w:w="9741" w:type="dxa"/>
          </w:tcPr>
          <w:p w14:paraId="4EA9131C" w14:textId="77777777" w:rsidR="00D7382F" w:rsidRPr="00893250" w:rsidRDefault="00D7382F" w:rsidP="00D7382F">
            <w:pPr>
              <w:tabs>
                <w:tab w:val="left" w:pos="0"/>
              </w:tabs>
              <w:jc w:val="both"/>
              <w:rPr>
                <w:b/>
                <w:bCs/>
                <w:i/>
                <w:iCs/>
                <w:szCs w:val="24"/>
              </w:rPr>
            </w:pPr>
            <w:r w:rsidRPr="00893250">
              <w:rPr>
                <w:b/>
                <w:bCs/>
                <w:i/>
                <w:iCs/>
                <w:szCs w:val="24"/>
              </w:rPr>
              <w:t>3. Kokių pozityvių rezultatų laukiama.</w:t>
            </w:r>
          </w:p>
        </w:tc>
      </w:tr>
      <w:tr w:rsidR="00893250" w:rsidRPr="00893250" w14:paraId="701B5129" w14:textId="77777777" w:rsidTr="00592125">
        <w:tc>
          <w:tcPr>
            <w:tcW w:w="9741" w:type="dxa"/>
          </w:tcPr>
          <w:p w14:paraId="3DE40833" w14:textId="4B8AB6A3" w:rsidR="00D7382F" w:rsidRPr="00893250" w:rsidRDefault="00D7382F" w:rsidP="002E29BB">
            <w:pPr>
              <w:tabs>
                <w:tab w:val="left" w:pos="0"/>
              </w:tabs>
              <w:jc w:val="both"/>
              <w:rPr>
                <w:szCs w:val="24"/>
              </w:rPr>
            </w:pPr>
            <w:r w:rsidRPr="00893250">
              <w:rPr>
                <w:szCs w:val="24"/>
              </w:rPr>
              <w:t xml:space="preserve">Bus įgyvendinti teisės aktų reikalavimai, apibendrinta ir paviešinta informacija apie </w:t>
            </w:r>
            <w:r w:rsidR="002E29BB" w:rsidRPr="00893250">
              <w:rPr>
                <w:szCs w:val="24"/>
              </w:rPr>
              <w:t xml:space="preserve">Jurbarko </w:t>
            </w:r>
            <w:r w:rsidR="00893250">
              <w:rPr>
                <w:szCs w:val="24"/>
              </w:rPr>
              <w:t>Vytauto Didžiojo pagrindinės mokyklos</w:t>
            </w:r>
            <w:r w:rsidR="002E29BB" w:rsidRPr="00893250">
              <w:rPr>
                <w:szCs w:val="24"/>
              </w:rPr>
              <w:t xml:space="preserve"> </w:t>
            </w:r>
            <w:r w:rsidRPr="00893250">
              <w:rPr>
                <w:szCs w:val="24"/>
              </w:rPr>
              <w:t>veiklą.</w:t>
            </w:r>
          </w:p>
        </w:tc>
      </w:tr>
      <w:tr w:rsidR="00893250" w:rsidRPr="00893250" w14:paraId="643643B2" w14:textId="77777777" w:rsidTr="00592125">
        <w:tc>
          <w:tcPr>
            <w:tcW w:w="9741" w:type="dxa"/>
          </w:tcPr>
          <w:p w14:paraId="63057A6B" w14:textId="77777777" w:rsidR="00D7382F" w:rsidRPr="00893250" w:rsidRDefault="00D7382F" w:rsidP="00D7382F">
            <w:pPr>
              <w:tabs>
                <w:tab w:val="left" w:pos="0"/>
              </w:tabs>
              <w:jc w:val="both"/>
              <w:rPr>
                <w:b/>
                <w:bCs/>
                <w:i/>
                <w:iCs/>
                <w:szCs w:val="24"/>
              </w:rPr>
            </w:pPr>
            <w:r w:rsidRPr="00893250">
              <w:rPr>
                <w:b/>
                <w:bCs/>
                <w:i/>
                <w:iCs/>
                <w:szCs w:val="24"/>
              </w:rPr>
              <w:t>4. Galimos neigiamos priimto projekto pasekmės ir kokių priemonių reikėtų imtis, kad tokių pasekmių būtų išvengta.</w:t>
            </w:r>
          </w:p>
        </w:tc>
      </w:tr>
      <w:tr w:rsidR="00893250" w:rsidRPr="00893250" w14:paraId="121B07E8" w14:textId="77777777" w:rsidTr="00592125">
        <w:tc>
          <w:tcPr>
            <w:tcW w:w="9741" w:type="dxa"/>
          </w:tcPr>
          <w:p w14:paraId="10CFE1ED" w14:textId="77777777" w:rsidR="00D7382F" w:rsidRPr="00893250" w:rsidRDefault="00D7382F" w:rsidP="00D7382F">
            <w:pPr>
              <w:tabs>
                <w:tab w:val="left" w:pos="0"/>
              </w:tabs>
              <w:jc w:val="both"/>
              <w:rPr>
                <w:szCs w:val="24"/>
              </w:rPr>
            </w:pPr>
            <w:r w:rsidRPr="00893250">
              <w:rPr>
                <w:szCs w:val="24"/>
                <w:lang w:eastAsia="ar-SA"/>
              </w:rPr>
              <w:t>Nenumatoma</w:t>
            </w:r>
          </w:p>
        </w:tc>
      </w:tr>
      <w:tr w:rsidR="00893250" w:rsidRPr="00893250" w14:paraId="6F32D315" w14:textId="77777777" w:rsidTr="00592125">
        <w:tc>
          <w:tcPr>
            <w:tcW w:w="9741" w:type="dxa"/>
          </w:tcPr>
          <w:p w14:paraId="320B1BB6" w14:textId="77777777" w:rsidR="00D7382F" w:rsidRPr="00893250" w:rsidRDefault="00D7382F" w:rsidP="00D7382F">
            <w:pPr>
              <w:tabs>
                <w:tab w:val="left" w:pos="0"/>
              </w:tabs>
              <w:jc w:val="both"/>
              <w:rPr>
                <w:b/>
                <w:bCs/>
                <w:i/>
                <w:iCs/>
                <w:szCs w:val="24"/>
              </w:rPr>
            </w:pPr>
            <w:r w:rsidRPr="00893250">
              <w:rPr>
                <w:b/>
                <w:bCs/>
                <w:i/>
                <w:iCs/>
                <w:szCs w:val="24"/>
              </w:rPr>
              <w:t>5. Kokie šios srities aktai tebegalioja (pateikiamas aktų sąrašas) ir kokius galiojančius aktus būtina pakeisti ar panaikinti, priėmus teikiamą projektą.</w:t>
            </w:r>
          </w:p>
        </w:tc>
      </w:tr>
      <w:tr w:rsidR="00893250" w:rsidRPr="00893250" w14:paraId="12B62D10" w14:textId="77777777" w:rsidTr="00592125">
        <w:tc>
          <w:tcPr>
            <w:tcW w:w="9741" w:type="dxa"/>
          </w:tcPr>
          <w:p w14:paraId="0BD8AECA" w14:textId="77777777" w:rsidR="00D7382F" w:rsidRPr="00893250" w:rsidRDefault="00D7382F" w:rsidP="00D7382F">
            <w:pPr>
              <w:tabs>
                <w:tab w:val="left" w:pos="0"/>
              </w:tabs>
              <w:jc w:val="both"/>
              <w:rPr>
                <w:szCs w:val="24"/>
              </w:rPr>
            </w:pPr>
            <w:r w:rsidRPr="00893250">
              <w:rPr>
                <w:szCs w:val="24"/>
              </w:rPr>
              <w:t>-</w:t>
            </w:r>
          </w:p>
        </w:tc>
      </w:tr>
      <w:tr w:rsidR="00893250" w:rsidRPr="00893250" w14:paraId="2884811B" w14:textId="77777777" w:rsidTr="00592125">
        <w:tc>
          <w:tcPr>
            <w:tcW w:w="9741" w:type="dxa"/>
          </w:tcPr>
          <w:p w14:paraId="71EB82B2" w14:textId="77777777" w:rsidR="00D7382F" w:rsidRPr="00893250" w:rsidRDefault="00D7382F" w:rsidP="00D7382F">
            <w:pPr>
              <w:tabs>
                <w:tab w:val="left" w:pos="0"/>
              </w:tabs>
              <w:jc w:val="both"/>
              <w:rPr>
                <w:b/>
                <w:bCs/>
                <w:i/>
                <w:iCs/>
                <w:szCs w:val="24"/>
              </w:rPr>
            </w:pPr>
            <w:r w:rsidRPr="00893250">
              <w:rPr>
                <w:b/>
                <w:bCs/>
                <w:i/>
                <w:iCs/>
                <w:szCs w:val="24"/>
              </w:rPr>
              <w:t>6. Projekto rengimo metu gauti specialistų vertinimai ir išvados, ekonominiai apskaičiavimai (sąmatos), konkretūs finansavimo šaltiniai.</w:t>
            </w:r>
          </w:p>
          <w:p w14:paraId="7301D63B" w14:textId="77777777" w:rsidR="00D7382F" w:rsidRPr="00893250" w:rsidRDefault="00D7382F" w:rsidP="00D7382F">
            <w:pPr>
              <w:tabs>
                <w:tab w:val="left" w:pos="0"/>
              </w:tabs>
              <w:jc w:val="both"/>
              <w:rPr>
                <w:szCs w:val="24"/>
              </w:rPr>
            </w:pPr>
            <w:r w:rsidRPr="00893250">
              <w:rPr>
                <w:bCs/>
                <w:iCs/>
                <w:szCs w:val="24"/>
                <w:lang w:eastAsia="ar-SA"/>
              </w:rPr>
              <w:t>-</w:t>
            </w:r>
          </w:p>
        </w:tc>
      </w:tr>
      <w:tr w:rsidR="00893250" w:rsidRPr="00893250" w14:paraId="159D121F" w14:textId="77777777" w:rsidTr="00592125">
        <w:tc>
          <w:tcPr>
            <w:tcW w:w="9741" w:type="dxa"/>
          </w:tcPr>
          <w:p w14:paraId="7E59C365" w14:textId="77777777" w:rsidR="00D7382F" w:rsidRPr="00893250" w:rsidRDefault="00D7382F" w:rsidP="00D7382F">
            <w:pPr>
              <w:tabs>
                <w:tab w:val="left" w:pos="0"/>
              </w:tabs>
              <w:jc w:val="both"/>
              <w:rPr>
                <w:b/>
                <w:i/>
                <w:szCs w:val="24"/>
              </w:rPr>
            </w:pPr>
            <w:r w:rsidRPr="00893250">
              <w:rPr>
                <w:b/>
                <w:i/>
                <w:szCs w:val="24"/>
              </w:rPr>
              <w:t>7. Ar reikalingas projekto antikorupcinis vertinimas</w:t>
            </w:r>
          </w:p>
          <w:p w14:paraId="54A9EAAF" w14:textId="77777777" w:rsidR="00D7382F" w:rsidRPr="00893250" w:rsidRDefault="00D7382F" w:rsidP="00D7382F">
            <w:pPr>
              <w:tabs>
                <w:tab w:val="left" w:pos="0"/>
              </w:tabs>
              <w:jc w:val="both"/>
              <w:rPr>
                <w:szCs w:val="24"/>
              </w:rPr>
            </w:pPr>
            <w:r w:rsidRPr="00893250">
              <w:rPr>
                <w:szCs w:val="24"/>
              </w:rPr>
              <w:t>Nereikalingas</w:t>
            </w:r>
          </w:p>
        </w:tc>
      </w:tr>
      <w:tr w:rsidR="00893250" w:rsidRPr="00893250" w14:paraId="5EF56BE9" w14:textId="77777777" w:rsidTr="00592125">
        <w:tc>
          <w:tcPr>
            <w:tcW w:w="9741" w:type="dxa"/>
          </w:tcPr>
          <w:p w14:paraId="45CCDADF" w14:textId="77777777" w:rsidR="00D7382F" w:rsidRPr="00893250" w:rsidRDefault="00D7382F" w:rsidP="00D7382F">
            <w:pPr>
              <w:tabs>
                <w:tab w:val="left" w:pos="0"/>
              </w:tabs>
              <w:jc w:val="both"/>
              <w:rPr>
                <w:b/>
                <w:i/>
                <w:szCs w:val="24"/>
              </w:rPr>
            </w:pPr>
            <w:r w:rsidRPr="00893250">
              <w:rPr>
                <w:b/>
                <w:i/>
                <w:szCs w:val="24"/>
              </w:rPr>
              <w:t>8. Projekto iniciatorius, autorius ar autorių grupė.</w:t>
            </w:r>
          </w:p>
        </w:tc>
      </w:tr>
      <w:tr w:rsidR="00893250" w:rsidRPr="00893250" w14:paraId="27CB6C01" w14:textId="77777777" w:rsidTr="00592125">
        <w:tc>
          <w:tcPr>
            <w:tcW w:w="9741" w:type="dxa"/>
          </w:tcPr>
          <w:p w14:paraId="0839ADC1" w14:textId="12687345" w:rsidR="00D7382F" w:rsidRPr="00893250" w:rsidRDefault="00207BAE" w:rsidP="002E29BB">
            <w:pPr>
              <w:jc w:val="both"/>
              <w:rPr>
                <w:szCs w:val="24"/>
              </w:rPr>
            </w:pPr>
            <w:r w:rsidRPr="00893250">
              <w:t xml:space="preserve">Jurbarko </w:t>
            </w:r>
            <w:r w:rsidRPr="00893250">
              <w:rPr>
                <w:szCs w:val="24"/>
              </w:rPr>
              <w:t xml:space="preserve">Vytauto Didžiojo pagrindinės mokyklos </w:t>
            </w:r>
            <w:r w:rsidRPr="00893250">
              <w:t xml:space="preserve">direktorė Jurgita </w:t>
            </w:r>
            <w:proofErr w:type="spellStart"/>
            <w:r w:rsidRPr="00893250">
              <w:t>Volbikienė</w:t>
            </w:r>
            <w:proofErr w:type="spellEnd"/>
            <w:r w:rsidR="00D7382F" w:rsidRPr="00893250">
              <w:t xml:space="preserve">, </w:t>
            </w:r>
            <w:r w:rsidR="00D7382F" w:rsidRPr="00893250">
              <w:rPr>
                <w:szCs w:val="24"/>
              </w:rPr>
              <w:t xml:space="preserve">Švietimo, kultūros ir sporto skyriaus vyriausioji specialistė </w:t>
            </w:r>
            <w:r w:rsidR="00E23B6D" w:rsidRPr="00893250">
              <w:rPr>
                <w:szCs w:val="24"/>
              </w:rPr>
              <w:t>Loreta Knašienė</w:t>
            </w:r>
          </w:p>
        </w:tc>
      </w:tr>
      <w:tr w:rsidR="00893250" w:rsidRPr="00893250" w14:paraId="61BCEC7C" w14:textId="77777777" w:rsidTr="00592125">
        <w:tc>
          <w:tcPr>
            <w:tcW w:w="9741" w:type="dxa"/>
          </w:tcPr>
          <w:p w14:paraId="41FB2041" w14:textId="77777777" w:rsidR="00D7382F" w:rsidRPr="00893250" w:rsidRDefault="00D7382F" w:rsidP="00D7382F">
            <w:pPr>
              <w:tabs>
                <w:tab w:val="left" w:pos="0"/>
              </w:tabs>
              <w:jc w:val="both"/>
              <w:rPr>
                <w:b/>
                <w:bCs/>
                <w:i/>
                <w:iCs/>
                <w:szCs w:val="24"/>
              </w:rPr>
            </w:pPr>
            <w:r w:rsidRPr="00893250">
              <w:rPr>
                <w:b/>
                <w:bCs/>
                <w:i/>
                <w:iCs/>
                <w:szCs w:val="24"/>
              </w:rPr>
              <w:t>9. Kiti, autorių nuomone, reikalingi pagrindimai ir paaiškinimai.</w:t>
            </w:r>
          </w:p>
          <w:p w14:paraId="5A1138CD" w14:textId="77777777" w:rsidR="00D7382F" w:rsidRPr="00893250" w:rsidRDefault="00D7382F" w:rsidP="00D7382F">
            <w:pPr>
              <w:tabs>
                <w:tab w:val="left" w:pos="0"/>
              </w:tabs>
              <w:jc w:val="both"/>
              <w:rPr>
                <w:szCs w:val="24"/>
              </w:rPr>
            </w:pPr>
            <w:r w:rsidRPr="00893250">
              <w:rPr>
                <w:szCs w:val="24"/>
              </w:rPr>
              <w:t>-</w:t>
            </w:r>
          </w:p>
        </w:tc>
      </w:tr>
      <w:tr w:rsidR="00893250" w:rsidRPr="00893250" w14:paraId="6BCF9483" w14:textId="77777777" w:rsidTr="00592125">
        <w:tc>
          <w:tcPr>
            <w:tcW w:w="9741" w:type="dxa"/>
          </w:tcPr>
          <w:p w14:paraId="27C92CFC" w14:textId="77777777" w:rsidR="00D7382F" w:rsidRPr="00893250" w:rsidRDefault="00D7382F" w:rsidP="00D7382F">
            <w:pPr>
              <w:tabs>
                <w:tab w:val="left" w:pos="0"/>
              </w:tabs>
              <w:jc w:val="both"/>
              <w:rPr>
                <w:b/>
                <w:i/>
                <w:szCs w:val="24"/>
              </w:rPr>
            </w:pPr>
            <w:r w:rsidRPr="00893250">
              <w:rPr>
                <w:b/>
                <w:i/>
                <w:szCs w:val="24"/>
              </w:rPr>
              <w:lastRenderedPageBreak/>
              <w:t>10. Sprendimas įteikiamas (kam ir kiek egz.)</w:t>
            </w:r>
          </w:p>
        </w:tc>
      </w:tr>
      <w:tr w:rsidR="00D7382F" w:rsidRPr="00893250" w14:paraId="200E2FCA" w14:textId="77777777" w:rsidTr="005E666E">
        <w:tc>
          <w:tcPr>
            <w:tcW w:w="9741" w:type="dxa"/>
            <w:shd w:val="clear" w:color="auto" w:fill="auto"/>
          </w:tcPr>
          <w:p w14:paraId="1581650C" w14:textId="4C1AC853" w:rsidR="00D7382F" w:rsidRPr="00893250" w:rsidRDefault="00E23B6D" w:rsidP="002E29BB">
            <w:pPr>
              <w:tabs>
                <w:tab w:val="left" w:pos="0"/>
              </w:tabs>
              <w:jc w:val="both"/>
              <w:rPr>
                <w:b/>
                <w:i/>
                <w:szCs w:val="24"/>
              </w:rPr>
            </w:pPr>
            <w:r w:rsidRPr="00893250">
              <w:rPr>
                <w:szCs w:val="24"/>
              </w:rPr>
              <w:t xml:space="preserve">Po 1 egz. į bylą, Švietimo, kultūros ir sporto skyriui, </w:t>
            </w:r>
            <w:r w:rsidR="00207BAE" w:rsidRPr="00893250">
              <w:t xml:space="preserve">Jurbarko </w:t>
            </w:r>
            <w:r w:rsidR="00207BAE" w:rsidRPr="00893250">
              <w:rPr>
                <w:szCs w:val="24"/>
              </w:rPr>
              <w:t xml:space="preserve">Vytauto Didžiojo pagrindinei mokyklai </w:t>
            </w:r>
            <w:r w:rsidRPr="00893250">
              <w:rPr>
                <w:szCs w:val="24"/>
              </w:rPr>
              <w:t>– per DBSIS.</w:t>
            </w:r>
          </w:p>
        </w:tc>
      </w:tr>
    </w:tbl>
    <w:p w14:paraId="5B4C1539" w14:textId="77777777" w:rsidR="00D7382F" w:rsidRPr="00893250" w:rsidRDefault="00D7382F" w:rsidP="00D7382F">
      <w:pPr>
        <w:tabs>
          <w:tab w:val="left" w:pos="567"/>
        </w:tabs>
        <w:rPr>
          <w:szCs w:val="24"/>
        </w:rPr>
      </w:pPr>
    </w:p>
    <w:p w14:paraId="6A04BC0A" w14:textId="77777777" w:rsidR="005A3D54" w:rsidRPr="00893250" w:rsidRDefault="005A3D54" w:rsidP="00D7382F">
      <w:pPr>
        <w:tabs>
          <w:tab w:val="left" w:pos="567"/>
        </w:tabs>
        <w:rPr>
          <w:szCs w:val="24"/>
        </w:rPr>
      </w:pPr>
    </w:p>
    <w:p w14:paraId="10D7186E" w14:textId="77777777" w:rsidR="00D7382F" w:rsidRPr="00893250" w:rsidRDefault="00D7382F" w:rsidP="00D7382F">
      <w:pPr>
        <w:rPr>
          <w:szCs w:val="24"/>
        </w:rPr>
      </w:pPr>
      <w:r w:rsidRPr="00893250">
        <w:rPr>
          <w:szCs w:val="24"/>
        </w:rPr>
        <w:t>Parengė</w:t>
      </w:r>
    </w:p>
    <w:p w14:paraId="26CCAECF" w14:textId="3C066B6D" w:rsidR="002B4AB9" w:rsidRPr="00893250" w:rsidRDefault="002B4AB9" w:rsidP="00D7382F">
      <w:pPr>
        <w:rPr>
          <w:szCs w:val="24"/>
        </w:rPr>
      </w:pPr>
      <w:r w:rsidRPr="00893250">
        <w:rPr>
          <w:szCs w:val="24"/>
        </w:rPr>
        <w:t>Loreta Knašienė</w:t>
      </w:r>
    </w:p>
    <w:p w14:paraId="3A84803E" w14:textId="55829310" w:rsidR="00D7382F" w:rsidRPr="00893250" w:rsidRDefault="002B4AB9" w:rsidP="00D7382F">
      <w:r w:rsidRPr="00893250">
        <w:rPr>
          <w:szCs w:val="24"/>
        </w:rPr>
        <w:t>2025-05-</w:t>
      </w:r>
    </w:p>
    <w:p w14:paraId="0838AA6F" w14:textId="77777777" w:rsidR="002E1F99" w:rsidRPr="00893250" w:rsidRDefault="002E1F99" w:rsidP="002E1F99">
      <w:pPr>
        <w:tabs>
          <w:tab w:val="left" w:pos="0"/>
        </w:tabs>
        <w:jc w:val="center"/>
      </w:pPr>
    </w:p>
    <w:sectPr w:rsidR="002E1F99" w:rsidRPr="00893250" w:rsidSect="002B4AB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B476" w14:textId="77777777" w:rsidR="005E2F1A" w:rsidRDefault="005E2F1A">
      <w:r>
        <w:separator/>
      </w:r>
    </w:p>
  </w:endnote>
  <w:endnote w:type="continuationSeparator" w:id="0">
    <w:p w14:paraId="27AA6C22" w14:textId="77777777" w:rsidR="005E2F1A" w:rsidRDefault="005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E31"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41C"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5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F0BF" w14:textId="77777777" w:rsidR="005E2F1A" w:rsidRDefault="005E2F1A">
      <w:r>
        <w:separator/>
      </w:r>
    </w:p>
  </w:footnote>
  <w:footnote w:type="continuationSeparator" w:id="0">
    <w:p w14:paraId="30E02B1B" w14:textId="77777777" w:rsidR="005E2F1A" w:rsidRDefault="005E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D6A" w14:textId="77777777" w:rsidR="00FC1CD3" w:rsidRDefault="009913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DA59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E28C" w14:textId="77777777" w:rsidR="00FC1CD3" w:rsidRDefault="00FC1CD3">
    <w:pPr>
      <w:pStyle w:val="Antrats"/>
      <w:framePr w:wrap="around" w:vAnchor="text" w:hAnchor="margin" w:xAlign="center" w:y="1"/>
      <w:rPr>
        <w:rStyle w:val="Puslapionumeris"/>
      </w:rPr>
    </w:pPr>
  </w:p>
  <w:p w14:paraId="4ABEDBAB"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07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0028C4"/>
    <w:multiLevelType w:val="hybridMultilevel"/>
    <w:tmpl w:val="5DB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A26C56"/>
    <w:multiLevelType w:val="hybridMultilevel"/>
    <w:tmpl w:val="0C22E9CC"/>
    <w:lvl w:ilvl="0" w:tplc="D86AE3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C27CDE"/>
    <w:multiLevelType w:val="hybridMultilevel"/>
    <w:tmpl w:val="E4563BA0"/>
    <w:lvl w:ilvl="0" w:tplc="FD680CDA">
      <w:start w:val="1"/>
      <w:numFmt w:val="decimal"/>
      <w:lvlText w:val="%1."/>
      <w:lvlJc w:val="left"/>
      <w:pPr>
        <w:ind w:left="897" w:hanging="360"/>
      </w:pPr>
      <w:rPr>
        <w:b w:val="0"/>
        <w:bCs/>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2697872">
    <w:abstractNumId w:val="6"/>
  </w:num>
  <w:num w:numId="2" w16cid:durableId="271010127">
    <w:abstractNumId w:val="2"/>
  </w:num>
  <w:num w:numId="3" w16cid:durableId="712577808">
    <w:abstractNumId w:val="8"/>
  </w:num>
  <w:num w:numId="4" w16cid:durableId="1510758547">
    <w:abstractNumId w:val="1"/>
  </w:num>
  <w:num w:numId="5" w16cid:durableId="1389844455">
    <w:abstractNumId w:val="10"/>
  </w:num>
  <w:num w:numId="6" w16cid:durableId="1983848662">
    <w:abstractNumId w:val="9"/>
  </w:num>
  <w:num w:numId="7" w16cid:durableId="577179778">
    <w:abstractNumId w:val="0"/>
  </w:num>
  <w:num w:numId="8" w16cid:durableId="1909264251">
    <w:abstractNumId w:val="3"/>
  </w:num>
  <w:num w:numId="9" w16cid:durableId="1732145872">
    <w:abstractNumId w:val="7"/>
  </w:num>
  <w:num w:numId="10" w16cid:durableId="1576088408">
    <w:abstractNumId w:val="5"/>
  </w:num>
  <w:num w:numId="11" w16cid:durableId="102374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C08"/>
    <w:rsid w:val="00015722"/>
    <w:rsid w:val="000252AB"/>
    <w:rsid w:val="000258A2"/>
    <w:rsid w:val="00031B2B"/>
    <w:rsid w:val="00033A70"/>
    <w:rsid w:val="0003441C"/>
    <w:rsid w:val="000477E6"/>
    <w:rsid w:val="0005341E"/>
    <w:rsid w:val="000679C1"/>
    <w:rsid w:val="00073ECC"/>
    <w:rsid w:val="00076A1D"/>
    <w:rsid w:val="000773EB"/>
    <w:rsid w:val="00085739"/>
    <w:rsid w:val="000962B8"/>
    <w:rsid w:val="000A2666"/>
    <w:rsid w:val="000E1F44"/>
    <w:rsid w:val="0010176C"/>
    <w:rsid w:val="00107C26"/>
    <w:rsid w:val="00117349"/>
    <w:rsid w:val="00121A4A"/>
    <w:rsid w:val="00124B53"/>
    <w:rsid w:val="0013367C"/>
    <w:rsid w:val="0015078A"/>
    <w:rsid w:val="00151CD6"/>
    <w:rsid w:val="00152F39"/>
    <w:rsid w:val="0016226A"/>
    <w:rsid w:val="00172D6E"/>
    <w:rsid w:val="00181E5E"/>
    <w:rsid w:val="00182224"/>
    <w:rsid w:val="00186467"/>
    <w:rsid w:val="00190B66"/>
    <w:rsid w:val="001913A1"/>
    <w:rsid w:val="001952BC"/>
    <w:rsid w:val="001C42C3"/>
    <w:rsid w:val="001D4EA6"/>
    <w:rsid w:val="001E0D2C"/>
    <w:rsid w:val="001F426B"/>
    <w:rsid w:val="00203CFC"/>
    <w:rsid w:val="00207BAE"/>
    <w:rsid w:val="00207BCB"/>
    <w:rsid w:val="00221449"/>
    <w:rsid w:val="00226341"/>
    <w:rsid w:val="002325F6"/>
    <w:rsid w:val="00234B9B"/>
    <w:rsid w:val="00243D5F"/>
    <w:rsid w:val="00246055"/>
    <w:rsid w:val="00251454"/>
    <w:rsid w:val="00265861"/>
    <w:rsid w:val="00266184"/>
    <w:rsid w:val="002770F6"/>
    <w:rsid w:val="00281984"/>
    <w:rsid w:val="002870BF"/>
    <w:rsid w:val="002930A8"/>
    <w:rsid w:val="002B2AA8"/>
    <w:rsid w:val="002B4AB9"/>
    <w:rsid w:val="002C6177"/>
    <w:rsid w:val="002E1F99"/>
    <w:rsid w:val="002E29BB"/>
    <w:rsid w:val="002E684F"/>
    <w:rsid w:val="002F084E"/>
    <w:rsid w:val="002F4A2B"/>
    <w:rsid w:val="002F7E49"/>
    <w:rsid w:val="00304340"/>
    <w:rsid w:val="00310537"/>
    <w:rsid w:val="00323FE1"/>
    <w:rsid w:val="00333FD4"/>
    <w:rsid w:val="003421EA"/>
    <w:rsid w:val="003459E5"/>
    <w:rsid w:val="00372033"/>
    <w:rsid w:val="00376143"/>
    <w:rsid w:val="003822CB"/>
    <w:rsid w:val="003859D7"/>
    <w:rsid w:val="00394C8B"/>
    <w:rsid w:val="00394FD0"/>
    <w:rsid w:val="003A7F59"/>
    <w:rsid w:val="003B2523"/>
    <w:rsid w:val="003D484F"/>
    <w:rsid w:val="003E54A7"/>
    <w:rsid w:val="003E7DC8"/>
    <w:rsid w:val="003F1305"/>
    <w:rsid w:val="003F75C9"/>
    <w:rsid w:val="004003BA"/>
    <w:rsid w:val="00433D3F"/>
    <w:rsid w:val="00434B34"/>
    <w:rsid w:val="00435B30"/>
    <w:rsid w:val="00441A29"/>
    <w:rsid w:val="00441AE7"/>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5914"/>
    <w:rsid w:val="0050747C"/>
    <w:rsid w:val="005209D1"/>
    <w:rsid w:val="00520A16"/>
    <w:rsid w:val="005231DA"/>
    <w:rsid w:val="00542B92"/>
    <w:rsid w:val="00551276"/>
    <w:rsid w:val="00553547"/>
    <w:rsid w:val="00564F01"/>
    <w:rsid w:val="00565370"/>
    <w:rsid w:val="00570AD7"/>
    <w:rsid w:val="00593FFF"/>
    <w:rsid w:val="00596079"/>
    <w:rsid w:val="00596DF6"/>
    <w:rsid w:val="005A3D54"/>
    <w:rsid w:val="005B2122"/>
    <w:rsid w:val="005B6A00"/>
    <w:rsid w:val="005C31CD"/>
    <w:rsid w:val="005D1F24"/>
    <w:rsid w:val="005D5D46"/>
    <w:rsid w:val="005E2F1A"/>
    <w:rsid w:val="005E6051"/>
    <w:rsid w:val="005E666E"/>
    <w:rsid w:val="005F6C41"/>
    <w:rsid w:val="006046BD"/>
    <w:rsid w:val="00610D18"/>
    <w:rsid w:val="00613E40"/>
    <w:rsid w:val="006159F1"/>
    <w:rsid w:val="00632D6F"/>
    <w:rsid w:val="00641E12"/>
    <w:rsid w:val="0065146A"/>
    <w:rsid w:val="00653BB2"/>
    <w:rsid w:val="006739F1"/>
    <w:rsid w:val="00673C21"/>
    <w:rsid w:val="00686E66"/>
    <w:rsid w:val="00697D48"/>
    <w:rsid w:val="006A29E6"/>
    <w:rsid w:val="006B13D6"/>
    <w:rsid w:val="006B72D3"/>
    <w:rsid w:val="006D11B7"/>
    <w:rsid w:val="006F35F0"/>
    <w:rsid w:val="00712690"/>
    <w:rsid w:val="00722553"/>
    <w:rsid w:val="00726D8F"/>
    <w:rsid w:val="0073170A"/>
    <w:rsid w:val="00732616"/>
    <w:rsid w:val="00734333"/>
    <w:rsid w:val="00744E20"/>
    <w:rsid w:val="007457FF"/>
    <w:rsid w:val="00747FB0"/>
    <w:rsid w:val="0076196C"/>
    <w:rsid w:val="007679BF"/>
    <w:rsid w:val="00771DAD"/>
    <w:rsid w:val="00776CAF"/>
    <w:rsid w:val="00784AAB"/>
    <w:rsid w:val="007860A8"/>
    <w:rsid w:val="00795EE4"/>
    <w:rsid w:val="007B0ED7"/>
    <w:rsid w:val="007B3A96"/>
    <w:rsid w:val="007E13A9"/>
    <w:rsid w:val="007E542E"/>
    <w:rsid w:val="007E57D4"/>
    <w:rsid w:val="007F4756"/>
    <w:rsid w:val="008030DA"/>
    <w:rsid w:val="008151D1"/>
    <w:rsid w:val="00832B07"/>
    <w:rsid w:val="0083342A"/>
    <w:rsid w:val="00843BB9"/>
    <w:rsid w:val="00851BC0"/>
    <w:rsid w:val="008554EA"/>
    <w:rsid w:val="008568E7"/>
    <w:rsid w:val="00857A58"/>
    <w:rsid w:val="008758B4"/>
    <w:rsid w:val="008770DC"/>
    <w:rsid w:val="00884122"/>
    <w:rsid w:val="00885091"/>
    <w:rsid w:val="00886BBC"/>
    <w:rsid w:val="00886E2F"/>
    <w:rsid w:val="0089197D"/>
    <w:rsid w:val="00891A13"/>
    <w:rsid w:val="00892223"/>
    <w:rsid w:val="0089276C"/>
    <w:rsid w:val="008927BE"/>
    <w:rsid w:val="00893250"/>
    <w:rsid w:val="008962CF"/>
    <w:rsid w:val="0089643D"/>
    <w:rsid w:val="00896E6B"/>
    <w:rsid w:val="008A46DA"/>
    <w:rsid w:val="008A4BEF"/>
    <w:rsid w:val="008A7709"/>
    <w:rsid w:val="008A7972"/>
    <w:rsid w:val="008B0CDD"/>
    <w:rsid w:val="008B0D02"/>
    <w:rsid w:val="008B7173"/>
    <w:rsid w:val="008C2222"/>
    <w:rsid w:val="008C4BDA"/>
    <w:rsid w:val="008C6DE0"/>
    <w:rsid w:val="008C7ADA"/>
    <w:rsid w:val="008D2B08"/>
    <w:rsid w:val="008D6AD8"/>
    <w:rsid w:val="008E7416"/>
    <w:rsid w:val="008F0F3E"/>
    <w:rsid w:val="008F41AE"/>
    <w:rsid w:val="008F651B"/>
    <w:rsid w:val="00926D08"/>
    <w:rsid w:val="00930BCB"/>
    <w:rsid w:val="00931D64"/>
    <w:rsid w:val="00931DA8"/>
    <w:rsid w:val="0093337F"/>
    <w:rsid w:val="00953E88"/>
    <w:rsid w:val="0096266A"/>
    <w:rsid w:val="009803C7"/>
    <w:rsid w:val="0098095A"/>
    <w:rsid w:val="009834DB"/>
    <w:rsid w:val="0098592E"/>
    <w:rsid w:val="009913D4"/>
    <w:rsid w:val="00992B19"/>
    <w:rsid w:val="00995D52"/>
    <w:rsid w:val="009A6D33"/>
    <w:rsid w:val="009B5344"/>
    <w:rsid w:val="009C68F2"/>
    <w:rsid w:val="009D4A3E"/>
    <w:rsid w:val="009E121E"/>
    <w:rsid w:val="00A076F2"/>
    <w:rsid w:val="00A10377"/>
    <w:rsid w:val="00A1347F"/>
    <w:rsid w:val="00A151E4"/>
    <w:rsid w:val="00A31AA9"/>
    <w:rsid w:val="00A331B2"/>
    <w:rsid w:val="00A37A47"/>
    <w:rsid w:val="00A50EB5"/>
    <w:rsid w:val="00A61F57"/>
    <w:rsid w:val="00A809D6"/>
    <w:rsid w:val="00A85052"/>
    <w:rsid w:val="00A91F1D"/>
    <w:rsid w:val="00A92F48"/>
    <w:rsid w:val="00A93FA4"/>
    <w:rsid w:val="00A97DCD"/>
    <w:rsid w:val="00AA2084"/>
    <w:rsid w:val="00AA3BDF"/>
    <w:rsid w:val="00AC2E40"/>
    <w:rsid w:val="00AC442B"/>
    <w:rsid w:val="00AD73BE"/>
    <w:rsid w:val="00AD7C4E"/>
    <w:rsid w:val="00AE072A"/>
    <w:rsid w:val="00AE1124"/>
    <w:rsid w:val="00AE1965"/>
    <w:rsid w:val="00AE2064"/>
    <w:rsid w:val="00AE3E19"/>
    <w:rsid w:val="00AE4BED"/>
    <w:rsid w:val="00AE61D9"/>
    <w:rsid w:val="00B0350E"/>
    <w:rsid w:val="00B0620E"/>
    <w:rsid w:val="00B0768E"/>
    <w:rsid w:val="00B137E9"/>
    <w:rsid w:val="00B14102"/>
    <w:rsid w:val="00B3497C"/>
    <w:rsid w:val="00B3631C"/>
    <w:rsid w:val="00B36446"/>
    <w:rsid w:val="00B418C7"/>
    <w:rsid w:val="00B42A07"/>
    <w:rsid w:val="00B46136"/>
    <w:rsid w:val="00B46301"/>
    <w:rsid w:val="00B5018F"/>
    <w:rsid w:val="00B54A3C"/>
    <w:rsid w:val="00B575EA"/>
    <w:rsid w:val="00B57A83"/>
    <w:rsid w:val="00B63C6A"/>
    <w:rsid w:val="00B667A8"/>
    <w:rsid w:val="00B668F0"/>
    <w:rsid w:val="00B728BD"/>
    <w:rsid w:val="00B75B41"/>
    <w:rsid w:val="00B81EF2"/>
    <w:rsid w:val="00B82C13"/>
    <w:rsid w:val="00B8562E"/>
    <w:rsid w:val="00B92B25"/>
    <w:rsid w:val="00B951B0"/>
    <w:rsid w:val="00BA1E5B"/>
    <w:rsid w:val="00BA627E"/>
    <w:rsid w:val="00BA7260"/>
    <w:rsid w:val="00BA7D22"/>
    <w:rsid w:val="00BB6943"/>
    <w:rsid w:val="00BD0DEA"/>
    <w:rsid w:val="00BD222B"/>
    <w:rsid w:val="00BE5A80"/>
    <w:rsid w:val="00BF2AB3"/>
    <w:rsid w:val="00BF4318"/>
    <w:rsid w:val="00BF582B"/>
    <w:rsid w:val="00C0081B"/>
    <w:rsid w:val="00C02331"/>
    <w:rsid w:val="00C04267"/>
    <w:rsid w:val="00C070B3"/>
    <w:rsid w:val="00C13615"/>
    <w:rsid w:val="00C1630A"/>
    <w:rsid w:val="00C223C0"/>
    <w:rsid w:val="00C31AC9"/>
    <w:rsid w:val="00C34160"/>
    <w:rsid w:val="00C359FF"/>
    <w:rsid w:val="00C42389"/>
    <w:rsid w:val="00C42BD3"/>
    <w:rsid w:val="00C43EC0"/>
    <w:rsid w:val="00C531AF"/>
    <w:rsid w:val="00C61D7C"/>
    <w:rsid w:val="00C64AC0"/>
    <w:rsid w:val="00C65C53"/>
    <w:rsid w:val="00C671E9"/>
    <w:rsid w:val="00C7179E"/>
    <w:rsid w:val="00C76C50"/>
    <w:rsid w:val="00C800F0"/>
    <w:rsid w:val="00C83B11"/>
    <w:rsid w:val="00C95C12"/>
    <w:rsid w:val="00CB356C"/>
    <w:rsid w:val="00CC0BB5"/>
    <w:rsid w:val="00CE1B6A"/>
    <w:rsid w:val="00CE1C9C"/>
    <w:rsid w:val="00CE2BB0"/>
    <w:rsid w:val="00CE349F"/>
    <w:rsid w:val="00CF6F64"/>
    <w:rsid w:val="00D07C6D"/>
    <w:rsid w:val="00D11A2F"/>
    <w:rsid w:val="00D12FFE"/>
    <w:rsid w:val="00D32D0D"/>
    <w:rsid w:val="00D513AA"/>
    <w:rsid w:val="00D51AC2"/>
    <w:rsid w:val="00D52EF0"/>
    <w:rsid w:val="00D7382F"/>
    <w:rsid w:val="00D75F4B"/>
    <w:rsid w:val="00D82C9A"/>
    <w:rsid w:val="00D83E1B"/>
    <w:rsid w:val="00D90D39"/>
    <w:rsid w:val="00D93DCC"/>
    <w:rsid w:val="00DA0452"/>
    <w:rsid w:val="00DB3317"/>
    <w:rsid w:val="00DB5D63"/>
    <w:rsid w:val="00DC38E8"/>
    <w:rsid w:val="00DD1AFB"/>
    <w:rsid w:val="00DD58E1"/>
    <w:rsid w:val="00DE0EBE"/>
    <w:rsid w:val="00DE293E"/>
    <w:rsid w:val="00DF4642"/>
    <w:rsid w:val="00E01F65"/>
    <w:rsid w:val="00E0742E"/>
    <w:rsid w:val="00E12D82"/>
    <w:rsid w:val="00E15F15"/>
    <w:rsid w:val="00E20089"/>
    <w:rsid w:val="00E23B6D"/>
    <w:rsid w:val="00E3136B"/>
    <w:rsid w:val="00E32723"/>
    <w:rsid w:val="00E40B88"/>
    <w:rsid w:val="00E4352B"/>
    <w:rsid w:val="00E46E1F"/>
    <w:rsid w:val="00E617FE"/>
    <w:rsid w:val="00E72134"/>
    <w:rsid w:val="00E72754"/>
    <w:rsid w:val="00E9007F"/>
    <w:rsid w:val="00E94E07"/>
    <w:rsid w:val="00E95900"/>
    <w:rsid w:val="00EA6026"/>
    <w:rsid w:val="00EB4A11"/>
    <w:rsid w:val="00EC44AF"/>
    <w:rsid w:val="00ED18C9"/>
    <w:rsid w:val="00EE5AC1"/>
    <w:rsid w:val="00EE6870"/>
    <w:rsid w:val="00EF0AE5"/>
    <w:rsid w:val="00F20019"/>
    <w:rsid w:val="00F27C80"/>
    <w:rsid w:val="00F320CA"/>
    <w:rsid w:val="00F40651"/>
    <w:rsid w:val="00F4093E"/>
    <w:rsid w:val="00F41211"/>
    <w:rsid w:val="00F41A98"/>
    <w:rsid w:val="00F4316F"/>
    <w:rsid w:val="00F431B6"/>
    <w:rsid w:val="00F43E56"/>
    <w:rsid w:val="00F6384B"/>
    <w:rsid w:val="00F67640"/>
    <w:rsid w:val="00F7174F"/>
    <w:rsid w:val="00F75C89"/>
    <w:rsid w:val="00F7723D"/>
    <w:rsid w:val="00FB0BBB"/>
    <w:rsid w:val="00FB6B02"/>
    <w:rsid w:val="00FC1CD3"/>
    <w:rsid w:val="00FC58BB"/>
    <w:rsid w:val="00FC763D"/>
    <w:rsid w:val="00FD0852"/>
    <w:rsid w:val="00FD2657"/>
    <w:rsid w:val="00FE0B13"/>
    <w:rsid w:val="00FF4AAC"/>
    <w:rsid w:val="00FF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B552"/>
  <w15:docId w15:val="{B21914AA-EFA3-49D0-90BC-7233C4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uiPriority w:val="34"/>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vdm.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12</Pages>
  <Words>17641</Words>
  <Characters>10056</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2025-05-08T06:49:00Z</dcterms:created>
  <dcterms:modified xsi:type="dcterms:W3CDTF">2025-05-08T06:50:00Z</dcterms:modified>
</cp:coreProperties>
</file>