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D287" w14:textId="77777777" w:rsidR="00FC1CD3" w:rsidRDefault="00F320CA" w:rsidP="00F320CA">
      <w:pPr>
        <w:jc w:val="right"/>
        <w:rPr>
          <w:lang w:val="en-US"/>
        </w:rPr>
      </w:pPr>
      <w:r>
        <w:t>Projekt</w:t>
      </w:r>
      <w:r w:rsidR="00F05D54">
        <w:t xml:space="preserve">o patikslinimas </w:t>
      </w:r>
    </w:p>
    <w:p w14:paraId="1BEB721F" w14:textId="77777777" w:rsidR="00FC1CD3" w:rsidRDefault="00FC1CD3">
      <w:pPr>
        <w:jc w:val="center"/>
        <w:rPr>
          <w:b/>
          <w:bCs/>
          <w:lang w:val="en-US"/>
        </w:rPr>
      </w:pPr>
    </w:p>
    <w:p w14:paraId="3285DCAA" w14:textId="77777777" w:rsidR="00F320CA" w:rsidRDefault="00F320CA">
      <w:pPr>
        <w:jc w:val="center"/>
        <w:rPr>
          <w:b/>
          <w:bCs/>
          <w:lang w:val="en-US"/>
        </w:rPr>
      </w:pPr>
    </w:p>
    <w:p w14:paraId="546F3196" w14:textId="77777777" w:rsidR="00F320CA" w:rsidRDefault="00F320CA">
      <w:pPr>
        <w:jc w:val="center"/>
        <w:rPr>
          <w:b/>
          <w:bCs/>
          <w:lang w:val="en-US"/>
        </w:rPr>
      </w:pPr>
    </w:p>
    <w:p w14:paraId="48CE1A70" w14:textId="77777777" w:rsidR="00FC1CD3" w:rsidRDefault="00F20019">
      <w:pPr>
        <w:jc w:val="center"/>
        <w:rPr>
          <w:b/>
        </w:rPr>
      </w:pPr>
      <w:r>
        <w:rPr>
          <w:b/>
          <w:lang w:val="en-US"/>
        </w:rPr>
        <w:t xml:space="preserve">JURBARKO RAJONO </w:t>
      </w:r>
      <w:r>
        <w:rPr>
          <w:b/>
        </w:rPr>
        <w:t>SAVIVALDYBĖS TARYBA</w:t>
      </w:r>
    </w:p>
    <w:p w14:paraId="25D9177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1E0779C" w14:textId="77777777">
        <w:trPr>
          <w:cantSplit/>
        </w:trPr>
        <w:tc>
          <w:tcPr>
            <w:tcW w:w="9654" w:type="dxa"/>
            <w:tcBorders>
              <w:top w:val="nil"/>
              <w:left w:val="nil"/>
              <w:bottom w:val="nil"/>
              <w:right w:val="nil"/>
            </w:tcBorders>
          </w:tcPr>
          <w:p w14:paraId="14656BAD" w14:textId="77777777" w:rsidR="00FC1CD3" w:rsidRDefault="00F20019">
            <w:pPr>
              <w:pStyle w:val="Antrat1"/>
              <w:rPr>
                <w:caps/>
                <w:szCs w:val="24"/>
                <w:lang w:val="lt-LT"/>
              </w:rPr>
            </w:pPr>
            <w:r>
              <w:rPr>
                <w:szCs w:val="24"/>
                <w:lang w:val="lt-LT"/>
              </w:rPr>
              <w:t>SPRENDIMAS</w:t>
            </w:r>
          </w:p>
        </w:tc>
      </w:tr>
      <w:bookmarkStart w:id="0" w:name="DOC_DATA"/>
      <w:tr w:rsidR="00FC1CD3" w14:paraId="5CB1314D" w14:textId="77777777">
        <w:trPr>
          <w:cantSplit/>
        </w:trPr>
        <w:tc>
          <w:tcPr>
            <w:tcW w:w="9654" w:type="dxa"/>
            <w:tcBorders>
              <w:top w:val="nil"/>
              <w:left w:val="nil"/>
              <w:bottom w:val="nil"/>
              <w:right w:val="nil"/>
            </w:tcBorders>
          </w:tcPr>
          <w:p w14:paraId="6B595224" w14:textId="77777777" w:rsidR="00FC1CD3" w:rsidRPr="00AE61D9" w:rsidRDefault="00513B3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2022 M. SAUSIO 27 D. SPRENDIMO NR. T2-10 „ DĖL SAVIVALDYBĖS INFRASTUKTŪROS PLĖTROS ĮMOKOS TARIFŲ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D05BF32" w14:textId="77777777">
        <w:trPr>
          <w:cantSplit/>
        </w:trPr>
        <w:tc>
          <w:tcPr>
            <w:tcW w:w="9654" w:type="dxa"/>
            <w:tcBorders>
              <w:top w:val="nil"/>
              <w:left w:val="nil"/>
              <w:bottom w:val="nil"/>
              <w:right w:val="nil"/>
            </w:tcBorders>
          </w:tcPr>
          <w:p w14:paraId="14BD4B7D" w14:textId="77777777" w:rsidR="00FC1CD3" w:rsidRPr="00AE61D9" w:rsidRDefault="00FC1CD3">
            <w:pPr>
              <w:pStyle w:val="Antrats"/>
              <w:tabs>
                <w:tab w:val="left" w:pos="1296"/>
              </w:tabs>
              <w:jc w:val="center"/>
              <w:rPr>
                <w:b/>
                <w:caps/>
              </w:rPr>
            </w:pPr>
          </w:p>
        </w:tc>
      </w:tr>
      <w:tr w:rsidR="00FC1CD3" w14:paraId="1D9137DA" w14:textId="77777777" w:rsidTr="00BA627E">
        <w:trPr>
          <w:cantSplit/>
          <w:trHeight w:val="359"/>
        </w:trPr>
        <w:tc>
          <w:tcPr>
            <w:tcW w:w="9654" w:type="dxa"/>
            <w:tcBorders>
              <w:top w:val="nil"/>
              <w:left w:val="nil"/>
              <w:bottom w:val="nil"/>
              <w:right w:val="nil"/>
            </w:tcBorders>
          </w:tcPr>
          <w:p w14:paraId="2084B144" w14:textId="77777777" w:rsidR="00FC1CD3" w:rsidRPr="00AE61D9" w:rsidRDefault="00513B3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TSP-380</w:t>
            </w:r>
            <w:r w:rsidRPr="00AE61D9">
              <w:fldChar w:fldCharType="end"/>
            </w:r>
          </w:p>
        </w:tc>
      </w:tr>
      <w:tr w:rsidR="00FC1CD3" w14:paraId="2BEFF043" w14:textId="77777777">
        <w:trPr>
          <w:cantSplit/>
        </w:trPr>
        <w:tc>
          <w:tcPr>
            <w:tcW w:w="9654" w:type="dxa"/>
            <w:tcBorders>
              <w:top w:val="nil"/>
              <w:left w:val="nil"/>
              <w:bottom w:val="nil"/>
              <w:right w:val="nil"/>
            </w:tcBorders>
          </w:tcPr>
          <w:p w14:paraId="671857DF" w14:textId="77777777" w:rsidR="00FC1CD3" w:rsidRDefault="00F20019">
            <w:pPr>
              <w:jc w:val="center"/>
            </w:pPr>
            <w:r>
              <w:t>Jurbarkas</w:t>
            </w:r>
          </w:p>
        </w:tc>
      </w:tr>
    </w:tbl>
    <w:p w14:paraId="2EE1038C" w14:textId="77777777" w:rsidR="00FC1CD3" w:rsidRPr="00892223" w:rsidRDefault="00FC1CD3"/>
    <w:p w14:paraId="0951D719" w14:textId="77777777" w:rsidR="00FC1CD3" w:rsidRDefault="00FC1CD3">
      <w:pPr>
        <w:jc w:val="both"/>
      </w:pPr>
    </w:p>
    <w:p w14:paraId="23B58744" w14:textId="77777777" w:rsidR="00014C45" w:rsidRDefault="00014C45" w:rsidP="00014C45">
      <w:pPr>
        <w:tabs>
          <w:tab w:val="left" w:pos="912"/>
        </w:tabs>
        <w:ind w:firstLine="709"/>
        <w:jc w:val="both"/>
      </w:pPr>
      <w:r>
        <w:t xml:space="preserve">Vadovaudamasi Lietuvos Respublikos vietos savivaldos įstatymo 6 straipsnio </w:t>
      </w:r>
      <w:r>
        <w:br/>
        <w:t xml:space="preserve">2 punktu, 15 straipsnio 4 dalimi, Lietuvos Respublikos savivaldybių infrastruktūros plėtros įstatymo 4 straipsnio 2 dalies 4 punktu, Jurbarko rajono savivaldybės taryba  </w:t>
      </w:r>
      <w:r>
        <w:rPr>
          <w:spacing w:val="60"/>
        </w:rPr>
        <w:t>nusprendži</w:t>
      </w:r>
      <w:r>
        <w:t>a:</w:t>
      </w:r>
    </w:p>
    <w:p w14:paraId="0613037D" w14:textId="77777777" w:rsidR="00014C45" w:rsidRDefault="00014C45" w:rsidP="00014C45">
      <w:pPr>
        <w:ind w:firstLine="720"/>
        <w:jc w:val="both"/>
      </w:pPr>
      <w:r>
        <w:t>1. Pakeisti Jurbarko rajono savivaldybės tarybos 2022 m. sausio 27 d. sprendimo T2-10 ,,Dėl savivaldybės infrastuktūros plėtros įmokos tarifų patvirtinimo“ 2 punktą ir jį išdėstyti taip:</w:t>
      </w:r>
    </w:p>
    <w:p w14:paraId="22798656" w14:textId="77777777" w:rsidR="00014C45" w:rsidRPr="000D2D54" w:rsidRDefault="00014C45" w:rsidP="00014C45">
      <w:pPr>
        <w:ind w:firstLine="720"/>
        <w:jc w:val="both"/>
      </w:pPr>
      <w:r>
        <w:t xml:space="preserve">„ </w:t>
      </w:r>
      <w:r w:rsidRPr="000D2D54">
        <w:t>2.Nustatyti, kad Įmokos tarifo dydis iki 2025 m. gruodžio 23 d. yra:</w:t>
      </w:r>
    </w:p>
    <w:p w14:paraId="2B23665D" w14:textId="77777777" w:rsidR="00014C45" w:rsidRPr="000D2D54" w:rsidRDefault="00014C45" w:rsidP="00014C45">
      <w:pPr>
        <w:ind w:firstLine="720"/>
        <w:jc w:val="both"/>
      </w:pPr>
      <w:r w:rsidRPr="000D2D54">
        <w:t>2.1. prioritetinės plėtros teritorijose – 0 Eur/m2;</w:t>
      </w:r>
    </w:p>
    <w:p w14:paraId="081ABE74" w14:textId="77777777" w:rsidR="00014C45" w:rsidRPr="000D2D54" w:rsidRDefault="00014C45" w:rsidP="00014C45">
      <w:pPr>
        <w:ind w:firstLine="720"/>
        <w:jc w:val="both"/>
      </w:pPr>
      <w:r w:rsidRPr="000D2D54">
        <w:t>2.2. neprioritetinėse plėtros teritorijose – 0 Eur/m2.“</w:t>
      </w:r>
    </w:p>
    <w:p w14:paraId="05091241" w14:textId="77777777" w:rsidR="00014C45" w:rsidRPr="000D2D54" w:rsidRDefault="00014C45" w:rsidP="00014C45">
      <w:pPr>
        <w:ind w:firstLine="720"/>
        <w:jc w:val="both"/>
      </w:pPr>
      <w:r w:rsidRPr="000D2D54">
        <w:t>2. Nustatyti, kad šis spendimas įsigalioja 2024 m. gruodžio 27 d.</w:t>
      </w:r>
    </w:p>
    <w:p w14:paraId="480DFE3C" w14:textId="77777777" w:rsidR="00014C45" w:rsidRPr="000D2D54" w:rsidRDefault="00014C45" w:rsidP="00014C45">
      <w:pPr>
        <w:ind w:firstLine="720"/>
        <w:jc w:val="both"/>
      </w:pPr>
      <w:r w:rsidRPr="000D2D54">
        <w:t>3. Pripažinti netekusiu galios Jurbarko rajono savivaldybės tarybos 2023 m. gruodžio 21 d.</w:t>
      </w:r>
      <w:r>
        <w:t xml:space="preserve"> </w:t>
      </w:r>
      <w:r w:rsidRPr="000D2D54">
        <w:t>sprendimą Nr. T2-377 „Dėl Jurbarko rajono savivaldybės tarybos 2022 m. sausio 27 d. spendimo Nr. T2-10 „Dėl savivaldybės infrastuktūros plėtros įmokos tarifų patvirtinimo“ pakeitimo“.</w:t>
      </w:r>
    </w:p>
    <w:p w14:paraId="5BDF2D98" w14:textId="77777777" w:rsidR="00014C45" w:rsidRDefault="00014C45" w:rsidP="00014C45">
      <w:pPr>
        <w:jc w:val="both"/>
      </w:pPr>
      <w:r>
        <w:tab/>
        <w:t xml:space="preserve">Šis sprendimas per vieną mėnesį nuo paskelbimo arba įteikimo suinteresuotai šaliai dienos gali būti skundžiamas Lietuvos administracinių ginčų komisijos Kauno apygardos skyriui </w:t>
      </w:r>
      <w:r>
        <w:b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E50C58" w14:textId="77777777" w:rsidR="00FC1CD3" w:rsidRDefault="00FC1CD3">
      <w:pPr>
        <w:jc w:val="both"/>
      </w:pPr>
    </w:p>
    <w:p w14:paraId="3D174391" w14:textId="77777777" w:rsidR="00AF29F4" w:rsidRDefault="00AF29F4">
      <w:pPr>
        <w:jc w:val="both"/>
      </w:pPr>
    </w:p>
    <w:tbl>
      <w:tblPr>
        <w:tblW w:w="0" w:type="auto"/>
        <w:tblInd w:w="108" w:type="dxa"/>
        <w:tblLook w:val="0000" w:firstRow="0" w:lastRow="0" w:firstColumn="0" w:lastColumn="0" w:noHBand="0" w:noVBand="0"/>
      </w:tblPr>
      <w:tblGrid>
        <w:gridCol w:w="4410"/>
        <w:gridCol w:w="4410"/>
      </w:tblGrid>
      <w:tr w:rsidR="00FC1CD3" w14:paraId="098DC3FC" w14:textId="77777777">
        <w:trPr>
          <w:trHeight w:val="180"/>
        </w:trPr>
        <w:tc>
          <w:tcPr>
            <w:tcW w:w="4410" w:type="dxa"/>
          </w:tcPr>
          <w:p w14:paraId="4087E2F9" w14:textId="77777777" w:rsidR="00FC1CD3" w:rsidRDefault="00F4316F">
            <w:r>
              <w:t>Savivaldybės meras</w:t>
            </w:r>
          </w:p>
        </w:tc>
        <w:tc>
          <w:tcPr>
            <w:tcW w:w="4410" w:type="dxa"/>
          </w:tcPr>
          <w:p w14:paraId="381B475E" w14:textId="77777777" w:rsidR="00FC1CD3" w:rsidRDefault="00FC1CD3">
            <w:pPr>
              <w:jc w:val="right"/>
            </w:pPr>
          </w:p>
        </w:tc>
      </w:tr>
    </w:tbl>
    <w:p w14:paraId="1EA43E11" w14:textId="77777777" w:rsidR="00FC1CD3" w:rsidRDefault="00FC1CD3"/>
    <w:p w14:paraId="1DEDC966" w14:textId="77777777" w:rsidR="00F320CA" w:rsidRDefault="00F320CA"/>
    <w:p w14:paraId="465422E0" w14:textId="77777777" w:rsidR="00F320CA" w:rsidRDefault="00F320CA">
      <w:r>
        <w:t xml:space="preserve">Vizos: </w:t>
      </w:r>
    </w:p>
    <w:p w14:paraId="24CAB688" w14:textId="77777777" w:rsidR="00AF29F4" w:rsidRDefault="00AF29F4">
      <w:r>
        <w:t>Vicemeras E. Mačieža</w:t>
      </w:r>
    </w:p>
    <w:p w14:paraId="0FC93A01" w14:textId="77777777" w:rsidR="007457FF" w:rsidRDefault="007457FF" w:rsidP="007457FF">
      <w:r>
        <w:t>Administracijos direktorė, R. Vančienė</w:t>
      </w:r>
    </w:p>
    <w:p w14:paraId="35C2ED7D" w14:textId="77777777" w:rsidR="00DE293E" w:rsidRDefault="00190B66" w:rsidP="00190B66">
      <w:r>
        <w:t>Teisės ir civilinės metrikacijos skyriaus vedėja</w:t>
      </w:r>
      <w:r w:rsidR="007457FF">
        <w:t xml:space="preserve"> O. Sutkaitienė</w:t>
      </w:r>
      <w:r w:rsidR="00DE293E">
        <w:t xml:space="preserve"> </w:t>
      </w:r>
    </w:p>
    <w:p w14:paraId="121DA5E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6738D48" w14:textId="77777777" w:rsidR="00F320CA" w:rsidRDefault="00190B66" w:rsidP="00190B66">
      <w:r>
        <w:t>Dokumentų ir viešųjų ryšių skyriaus vyr. specialistas A. Gvildys</w:t>
      </w:r>
    </w:p>
    <w:p w14:paraId="69FFB342" w14:textId="77777777" w:rsidR="00F320CA" w:rsidRDefault="00AF29F4">
      <w:r w:rsidRPr="00CE3309">
        <w:t>Infrastruktūros ir turto skyriaus vedėja Jolanta Šeflerienė</w:t>
      </w:r>
    </w:p>
    <w:p w14:paraId="118CDC59" w14:textId="77777777" w:rsidR="00734333" w:rsidRDefault="00734333"/>
    <w:p w14:paraId="63EDEEFD" w14:textId="77777777" w:rsidR="007C524A" w:rsidRDefault="007C524A" w:rsidP="007C524A">
      <w:r>
        <w:t>Parengė</w:t>
      </w:r>
    </w:p>
    <w:p w14:paraId="39F643A4" w14:textId="77777777" w:rsidR="007C524A" w:rsidRDefault="007C524A" w:rsidP="007C524A"/>
    <w:p w14:paraId="378DBB5A" w14:textId="77777777" w:rsidR="007C524A" w:rsidRPr="009A40E8" w:rsidRDefault="00513B30" w:rsidP="007C524A">
      <w:pPr>
        <w:tabs>
          <w:tab w:val="left" w:pos="1296"/>
          <w:tab w:val="center" w:pos="4153"/>
          <w:tab w:val="right" w:pos="8306"/>
        </w:tabs>
        <w:rPr>
          <w:szCs w:val="24"/>
          <w:lang w:eastAsia="de-DE"/>
        </w:rPr>
      </w:pPr>
      <w:r w:rsidRPr="009A40E8">
        <w:rPr>
          <w:szCs w:val="24"/>
          <w:lang w:eastAsia="de-DE"/>
        </w:rPr>
        <w:fldChar w:fldCharType="begin">
          <w:ffData>
            <w:name w:val=""/>
            <w:enabled/>
            <w:calcOnExit w:val="0"/>
            <w:textInput>
              <w:default w:val="{$CREATOR_SHOWS}"/>
            </w:textInput>
          </w:ffData>
        </w:fldChar>
      </w:r>
      <w:r w:rsidR="007C524A" w:rsidRPr="009A40E8">
        <w:rPr>
          <w:szCs w:val="24"/>
          <w:lang w:eastAsia="de-DE"/>
        </w:rPr>
        <w:instrText xml:space="preserve"> FORMTEXT </w:instrText>
      </w:r>
      <w:r w:rsidRPr="009A40E8">
        <w:rPr>
          <w:szCs w:val="24"/>
          <w:lang w:eastAsia="de-DE"/>
        </w:rPr>
      </w:r>
      <w:r w:rsidRPr="009A40E8">
        <w:rPr>
          <w:szCs w:val="24"/>
          <w:lang w:eastAsia="de-DE"/>
        </w:rPr>
        <w:fldChar w:fldCharType="separate"/>
      </w:r>
      <w:r w:rsidR="007C524A" w:rsidRPr="009A40E8">
        <w:rPr>
          <w:noProof/>
          <w:szCs w:val="24"/>
          <w:lang w:eastAsia="de-DE"/>
        </w:rPr>
        <w:t>Jolanta Šeflerienė</w:t>
      </w:r>
      <w:r w:rsidRPr="009A40E8">
        <w:rPr>
          <w:szCs w:val="24"/>
          <w:lang w:eastAsia="de-DE"/>
        </w:rPr>
        <w:fldChar w:fldCharType="end"/>
      </w:r>
      <w:r w:rsidR="007C524A" w:rsidRPr="009A40E8">
        <w:rPr>
          <w:szCs w:val="24"/>
          <w:lang w:eastAsia="de-DE"/>
        </w:rPr>
        <w:t xml:space="preserve"> tel. </w:t>
      </w:r>
      <w:r w:rsidRPr="009A40E8">
        <w:rPr>
          <w:szCs w:val="24"/>
          <w:lang w:eastAsia="de-DE"/>
        </w:rPr>
        <w:fldChar w:fldCharType="begin">
          <w:ffData>
            <w:name w:val="CREATOR_PHONE_FULL"/>
            <w:enabled/>
            <w:calcOnExit w:val="0"/>
            <w:textInput>
              <w:default w:val="{$CREATOR_PHONE_FULL}"/>
            </w:textInput>
          </w:ffData>
        </w:fldChar>
      </w:r>
      <w:r w:rsidR="007C524A" w:rsidRPr="009A40E8">
        <w:rPr>
          <w:szCs w:val="24"/>
          <w:lang w:eastAsia="de-DE"/>
        </w:rPr>
        <w:instrText xml:space="preserve"> FORMTEXT </w:instrText>
      </w:r>
      <w:r w:rsidRPr="009A40E8">
        <w:rPr>
          <w:szCs w:val="24"/>
          <w:lang w:eastAsia="de-DE"/>
        </w:rPr>
      </w:r>
      <w:r w:rsidRPr="009A40E8">
        <w:rPr>
          <w:szCs w:val="24"/>
          <w:lang w:eastAsia="de-DE"/>
        </w:rPr>
        <w:fldChar w:fldCharType="separate"/>
      </w:r>
      <w:r w:rsidR="007C524A" w:rsidRPr="009A40E8">
        <w:rPr>
          <w:noProof/>
          <w:szCs w:val="24"/>
          <w:lang w:eastAsia="de-DE"/>
        </w:rPr>
        <w:t>+370 698 18619</w:t>
      </w:r>
      <w:r w:rsidRPr="009A40E8">
        <w:rPr>
          <w:szCs w:val="24"/>
          <w:lang w:eastAsia="de-DE"/>
        </w:rPr>
        <w:fldChar w:fldCharType="end"/>
      </w:r>
      <w:r w:rsidR="007C524A" w:rsidRPr="009A40E8">
        <w:rPr>
          <w:szCs w:val="24"/>
          <w:lang w:eastAsia="de-DE"/>
        </w:rPr>
        <w:t xml:space="preserve">  el. p.  </w:t>
      </w:r>
      <w:r w:rsidRPr="009A40E8">
        <w:rPr>
          <w:szCs w:val="24"/>
          <w:lang w:eastAsia="de-DE"/>
        </w:rPr>
        <w:fldChar w:fldCharType="begin">
          <w:ffData>
            <w:name w:val="CREATOR_EMAIL"/>
            <w:enabled/>
            <w:calcOnExit w:val="0"/>
            <w:textInput>
              <w:default w:val="{$CREATOR_EMAIL}"/>
            </w:textInput>
          </w:ffData>
        </w:fldChar>
      </w:r>
      <w:r w:rsidR="007C524A" w:rsidRPr="009A40E8">
        <w:rPr>
          <w:szCs w:val="24"/>
          <w:lang w:eastAsia="de-DE"/>
        </w:rPr>
        <w:instrText xml:space="preserve"> FORMTEXT </w:instrText>
      </w:r>
      <w:r w:rsidRPr="009A40E8">
        <w:rPr>
          <w:szCs w:val="24"/>
          <w:lang w:eastAsia="de-DE"/>
        </w:rPr>
      </w:r>
      <w:r w:rsidRPr="009A40E8">
        <w:rPr>
          <w:szCs w:val="24"/>
          <w:lang w:eastAsia="de-DE"/>
        </w:rPr>
        <w:fldChar w:fldCharType="separate"/>
      </w:r>
      <w:r w:rsidR="007C524A" w:rsidRPr="009A40E8">
        <w:rPr>
          <w:noProof/>
          <w:szCs w:val="24"/>
          <w:lang w:eastAsia="de-DE"/>
        </w:rPr>
        <w:t>jolanta.sefleriene@jurbarkas.lt</w:t>
      </w:r>
      <w:r w:rsidRPr="009A40E8">
        <w:rPr>
          <w:szCs w:val="24"/>
          <w:lang w:eastAsia="de-DE"/>
        </w:rPr>
        <w:fldChar w:fldCharType="end"/>
      </w:r>
    </w:p>
    <w:p w14:paraId="53593E31" w14:textId="77777777" w:rsidR="007C524A" w:rsidRPr="009A40E8" w:rsidRDefault="00513B30" w:rsidP="007C524A">
      <w:pPr>
        <w:rPr>
          <w:lang w:eastAsia="de-DE"/>
        </w:rPr>
      </w:pPr>
      <w:r w:rsidRPr="009A40E8">
        <w:rPr>
          <w:lang w:eastAsia="de-DE"/>
        </w:rPr>
        <w:fldChar w:fldCharType="begin">
          <w:ffData>
            <w:name w:val="CREATOR_SHOWS"/>
            <w:enabled/>
            <w:calcOnExit w:val="0"/>
            <w:textInput>
              <w:default w:val="{$CREATOR_SHOWS}"/>
            </w:textInput>
          </w:ffData>
        </w:fldChar>
      </w:r>
      <w:r w:rsidR="007C524A" w:rsidRPr="009A40E8">
        <w:rPr>
          <w:lang w:eastAsia="de-DE"/>
        </w:rPr>
        <w:instrText xml:space="preserve"> FORMTEXT </w:instrText>
      </w:r>
      <w:r w:rsidRPr="009A40E8">
        <w:rPr>
          <w:lang w:eastAsia="de-DE"/>
        </w:rPr>
      </w:r>
      <w:r w:rsidRPr="009A40E8">
        <w:rPr>
          <w:lang w:eastAsia="de-DE"/>
        </w:rPr>
        <w:fldChar w:fldCharType="separate"/>
      </w:r>
      <w:r w:rsidR="007C524A" w:rsidRPr="009A40E8">
        <w:rPr>
          <w:noProof/>
          <w:lang w:eastAsia="de-DE"/>
        </w:rPr>
        <w:t>Jurgita Abromaitė</w:t>
      </w:r>
      <w:r w:rsidRPr="009A40E8">
        <w:rPr>
          <w:lang w:eastAsia="de-DE"/>
        </w:rPr>
        <w:fldChar w:fldCharType="end"/>
      </w:r>
      <w:r w:rsidR="007C524A" w:rsidRPr="009A40E8">
        <w:rPr>
          <w:lang w:eastAsia="de-DE"/>
        </w:rPr>
        <w:t>, tel. (8 447) 70 176</w:t>
      </w:r>
      <w:r w:rsidRPr="009A40E8">
        <w:rPr>
          <w:lang w:eastAsia="de-DE"/>
        </w:rPr>
        <w:fldChar w:fldCharType="begin">
          <w:ffData>
            <w:name w:val="CREATOR_PHONE_FULL"/>
            <w:enabled/>
            <w:calcOnExit w:val="0"/>
            <w:textInput>
              <w:default w:val="{$CREATOR_PHONE_FULL}"/>
            </w:textInput>
          </w:ffData>
        </w:fldChar>
      </w:r>
      <w:r w:rsidR="007C524A" w:rsidRPr="009A40E8">
        <w:rPr>
          <w:lang w:eastAsia="de-DE"/>
        </w:rPr>
        <w:instrText xml:space="preserve"> FORMTEXT </w:instrText>
      </w:r>
      <w:r w:rsidRPr="009A40E8">
        <w:rPr>
          <w:lang w:eastAsia="de-DE"/>
        </w:rPr>
      </w:r>
      <w:r w:rsidRPr="009A40E8">
        <w:rPr>
          <w:lang w:eastAsia="de-DE"/>
        </w:rPr>
        <w:fldChar w:fldCharType="separate"/>
      </w:r>
      <w:r w:rsidRPr="009A40E8">
        <w:rPr>
          <w:lang w:eastAsia="de-DE"/>
        </w:rPr>
        <w:fldChar w:fldCharType="end"/>
      </w:r>
      <w:r w:rsidR="007C524A" w:rsidRPr="009A40E8">
        <w:rPr>
          <w:lang w:eastAsia="de-DE"/>
        </w:rPr>
        <w:t xml:space="preserve">,  el. p.  </w:t>
      </w:r>
      <w:r w:rsidRPr="009A40E8">
        <w:rPr>
          <w:lang w:eastAsia="de-DE"/>
        </w:rPr>
        <w:fldChar w:fldCharType="begin">
          <w:ffData>
            <w:name w:val="CREATOR_EMAIL"/>
            <w:enabled/>
            <w:calcOnExit w:val="0"/>
            <w:textInput>
              <w:default w:val="{$CREATOR_EMAIL}"/>
            </w:textInput>
          </w:ffData>
        </w:fldChar>
      </w:r>
      <w:r w:rsidR="007C524A" w:rsidRPr="009A40E8">
        <w:rPr>
          <w:lang w:eastAsia="de-DE"/>
        </w:rPr>
        <w:instrText xml:space="preserve"> FORMTEXT </w:instrText>
      </w:r>
      <w:r w:rsidRPr="009A40E8">
        <w:rPr>
          <w:lang w:eastAsia="de-DE"/>
        </w:rPr>
      </w:r>
      <w:r w:rsidRPr="009A40E8">
        <w:rPr>
          <w:lang w:eastAsia="de-DE"/>
        </w:rPr>
        <w:fldChar w:fldCharType="separate"/>
      </w:r>
      <w:r w:rsidR="007C524A" w:rsidRPr="009A40E8">
        <w:rPr>
          <w:noProof/>
          <w:lang w:eastAsia="de-DE"/>
        </w:rPr>
        <w:t>jurgita.abromaite@jurbarkas.lt</w:t>
      </w:r>
      <w:r w:rsidRPr="009A40E8">
        <w:rPr>
          <w:lang w:eastAsia="de-DE"/>
        </w:rPr>
        <w:fldChar w:fldCharType="end"/>
      </w:r>
    </w:p>
    <w:p w14:paraId="21B3B71E" w14:textId="77777777" w:rsidR="007C524A" w:rsidRDefault="007C524A" w:rsidP="007C524A"/>
    <w:p w14:paraId="0684C129" w14:textId="77777777" w:rsidR="00F7723D" w:rsidRDefault="00513B30" w:rsidP="007C524A">
      <w:pPr>
        <w:pStyle w:val="Antrats"/>
        <w:tabs>
          <w:tab w:val="clear" w:pos="4153"/>
          <w:tab w:val="clear" w:pos="8306"/>
        </w:tabs>
      </w:pPr>
      <w:r>
        <w:fldChar w:fldCharType="begin">
          <w:ffData>
            <w:name w:val="NOW_DATE1"/>
            <w:enabled/>
            <w:calcOnExit w:val="0"/>
            <w:textInput>
              <w:default w:val="{$NOW_DATE1}"/>
            </w:textInput>
          </w:ffData>
        </w:fldChar>
      </w:r>
      <w:r w:rsidR="007C524A">
        <w:instrText xml:space="preserve"> FORMTEXT </w:instrText>
      </w:r>
      <w:r>
        <w:fldChar w:fldCharType="separate"/>
      </w:r>
      <w:r w:rsidR="007C524A">
        <w:rPr>
          <w:noProof/>
        </w:rPr>
        <w:t>2024-12-18</w:t>
      </w:r>
      <w:r>
        <w:fldChar w:fldCharType="end"/>
      </w:r>
      <w:r w:rsidR="007C524A">
        <w:t xml:space="preserve"> </w:t>
      </w:r>
    </w:p>
    <w:p w14:paraId="2DF2EB68" w14:textId="77777777" w:rsidR="002E1F99" w:rsidRDefault="002E1F99" w:rsidP="002E1F99">
      <w:pPr>
        <w:pStyle w:val="Pavadinimas"/>
        <w:jc w:val="left"/>
        <w:rPr>
          <w:b w:val="0"/>
        </w:rPr>
      </w:pPr>
    </w:p>
    <w:p w14:paraId="5B3DC062" w14:textId="77777777" w:rsidR="00B668F0" w:rsidRDefault="00B668F0" w:rsidP="00B668F0">
      <w:pPr>
        <w:pStyle w:val="Pavadinimas"/>
        <w:pBdr>
          <w:bottom w:val="single" w:sz="12" w:space="1" w:color="auto"/>
        </w:pBdr>
      </w:pPr>
      <w:r>
        <w:t>JURBARKO RAJONO SAVIVALDYBĖS ADMINISTRACIJOS</w:t>
      </w:r>
    </w:p>
    <w:p w14:paraId="6B0A5401" w14:textId="77777777" w:rsidR="00B668F0" w:rsidRDefault="007C524A" w:rsidP="00B668F0">
      <w:pPr>
        <w:pStyle w:val="Pavadinimas"/>
        <w:pBdr>
          <w:bottom w:val="single" w:sz="12" w:space="1" w:color="auto"/>
        </w:pBdr>
      </w:pPr>
      <w:r>
        <w:t xml:space="preserve">INFRASTUKTŪROS IR TURTO SKYRIUS </w:t>
      </w:r>
    </w:p>
    <w:p w14:paraId="0645937E" w14:textId="77777777" w:rsidR="00B668F0" w:rsidRDefault="00B668F0" w:rsidP="00B668F0">
      <w:pPr>
        <w:pStyle w:val="Pavadinimas"/>
        <w:pBdr>
          <w:bottom w:val="single" w:sz="12" w:space="1" w:color="auto"/>
        </w:pBdr>
      </w:pPr>
    </w:p>
    <w:p w14:paraId="3637F641" w14:textId="77777777" w:rsidR="00B668F0" w:rsidRDefault="00B668F0" w:rsidP="00B668F0">
      <w:pPr>
        <w:pStyle w:val="Pavadinimas"/>
        <w:pBdr>
          <w:bottom w:val="single" w:sz="12" w:space="1" w:color="auto"/>
        </w:pBdr>
      </w:pPr>
    </w:p>
    <w:p w14:paraId="1BEEFF45" w14:textId="77777777" w:rsidR="002E1F99" w:rsidRDefault="002E1F99" w:rsidP="002E1F99">
      <w:pPr>
        <w:pStyle w:val="Paantrat"/>
      </w:pPr>
    </w:p>
    <w:p w14:paraId="3AC3C3DF" w14:textId="77777777" w:rsidR="002E1F99" w:rsidRDefault="002E1F99" w:rsidP="002E1F99">
      <w:pPr>
        <w:pStyle w:val="Paantrat"/>
      </w:pPr>
      <w:r>
        <w:t>AIŠKINAMASIS RAŠTAS</w:t>
      </w:r>
    </w:p>
    <w:p w14:paraId="033E18A2" w14:textId="77777777" w:rsidR="002E1F99" w:rsidRDefault="002E1F99" w:rsidP="002E1F99">
      <w:pPr>
        <w:jc w:val="center"/>
        <w:rPr>
          <w:caps/>
        </w:rPr>
      </w:pPr>
    </w:p>
    <w:p w14:paraId="0043B16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13B30">
        <w:rPr>
          <w:b/>
        </w:rPr>
        <w:fldChar w:fldCharType="begin">
          <w:ffData>
            <w:name w:val="DOC_DATA"/>
            <w:enabled/>
            <w:calcOnExit w:val="0"/>
            <w:textInput>
              <w:default w:val="{$DOC_DATA}"/>
            </w:textInput>
          </w:ffData>
        </w:fldChar>
      </w:r>
      <w:r>
        <w:rPr>
          <w:b/>
        </w:rPr>
        <w:instrText xml:space="preserve"> FORMTEXT </w:instrText>
      </w:r>
      <w:r w:rsidR="00513B30">
        <w:rPr>
          <w:b/>
        </w:rPr>
      </w:r>
      <w:r w:rsidR="00513B30">
        <w:rPr>
          <w:b/>
        </w:rPr>
        <w:fldChar w:fldCharType="separate"/>
      </w:r>
      <w:r>
        <w:rPr>
          <w:b/>
          <w:noProof/>
        </w:rPr>
        <w:t>DĖL JURBARKO RAJONO SAVIVALDYBĖS TARYBOS 2022 M. SAUSIO 27 D. SPRENDIMO NR. T2-10 „ DĖL SAVIVALDYBĖS INFRASTUKTŪROS PLĖTROS ĮMOKOS TARIFŲ PATVIRTINIMO" PAKEITIMO</w:t>
      </w:r>
      <w:r w:rsidR="00513B3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FFA93BE" w14:textId="77777777" w:rsidR="002E1F99" w:rsidRDefault="002E1F99" w:rsidP="002E1F99">
      <w:pPr>
        <w:tabs>
          <w:tab w:val="left" w:pos="567"/>
        </w:tabs>
        <w:jc w:val="center"/>
      </w:pPr>
    </w:p>
    <w:p w14:paraId="0B02B524" w14:textId="77777777" w:rsidR="002E1F99" w:rsidRDefault="002E1F99" w:rsidP="002E1F99">
      <w:pPr>
        <w:tabs>
          <w:tab w:val="left" w:pos="567"/>
        </w:tabs>
        <w:jc w:val="center"/>
      </w:pPr>
    </w:p>
    <w:p w14:paraId="01EBD67C" w14:textId="77777777" w:rsidR="00001758" w:rsidRDefault="00513B3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18 d.</w:t>
      </w:r>
      <w:r>
        <w:fldChar w:fldCharType="end"/>
      </w:r>
    </w:p>
    <w:p w14:paraId="4F90138F" w14:textId="77777777" w:rsidR="002E1F99" w:rsidRDefault="002E1F99" w:rsidP="00802DA6">
      <w:pPr>
        <w:tabs>
          <w:tab w:val="left" w:pos="0"/>
        </w:tabs>
        <w:jc w:val="center"/>
      </w:pPr>
      <w:r>
        <w:t>Jurbarkas</w:t>
      </w:r>
    </w:p>
    <w:p w14:paraId="654B3DD9" w14:textId="77777777" w:rsidR="006A29E6" w:rsidRDefault="006A29E6" w:rsidP="006A29E6"/>
    <w:tbl>
      <w:tblPr>
        <w:tblW w:w="9639" w:type="dxa"/>
        <w:tblLook w:val="0000" w:firstRow="0" w:lastRow="0" w:firstColumn="0" w:lastColumn="0" w:noHBand="0" w:noVBand="0"/>
      </w:tblPr>
      <w:tblGrid>
        <w:gridCol w:w="9639"/>
      </w:tblGrid>
      <w:tr w:rsidR="006A29E6" w14:paraId="69960F07" w14:textId="77777777" w:rsidTr="00C64DDB">
        <w:tc>
          <w:tcPr>
            <w:tcW w:w="9639" w:type="dxa"/>
          </w:tcPr>
          <w:p w14:paraId="1290AA11" w14:textId="77777777" w:rsidR="006A29E6" w:rsidRDefault="006A29E6" w:rsidP="007371F4">
            <w:pPr>
              <w:tabs>
                <w:tab w:val="left" w:pos="0"/>
              </w:tabs>
              <w:rPr>
                <w:b/>
                <w:bCs/>
                <w:i/>
                <w:iCs/>
                <w:sz w:val="22"/>
              </w:rPr>
            </w:pPr>
            <w:r>
              <w:rPr>
                <w:b/>
                <w:bCs/>
                <w:i/>
                <w:iCs/>
                <w:sz w:val="22"/>
              </w:rPr>
              <w:t>1. Parengto projekto tikslai ir uždaviniai.</w:t>
            </w:r>
          </w:p>
          <w:p w14:paraId="52D907CB" w14:textId="77777777" w:rsidR="00802DA6" w:rsidRPr="00705037" w:rsidRDefault="00802DA6" w:rsidP="00802DA6">
            <w:pPr>
              <w:autoSpaceDE w:val="0"/>
              <w:autoSpaceDN w:val="0"/>
              <w:adjustRightInd w:val="0"/>
              <w:jc w:val="both"/>
              <w:rPr>
                <w:rFonts w:ascii="TimesNewRomanPSMT" w:hAnsi="TimesNewRomanPSMT" w:cs="TimesNewRomanPSMT"/>
                <w:i/>
                <w:iCs/>
                <w:szCs w:val="24"/>
              </w:rPr>
            </w:pPr>
            <w:r w:rsidRPr="00705037">
              <w:rPr>
                <w:rFonts w:ascii="TimesNewRomanPSMT" w:hAnsi="TimesNewRomanPSMT" w:cs="TimesNewRomanPSMT"/>
                <w:i/>
                <w:iCs/>
                <w:szCs w:val="24"/>
              </w:rPr>
              <w:t>Nuo 2021 m. sausio 1 d. įsigaliojo Lietuvos Respublikos savivaldybių infrastruktūros plėtros įstatymas, kuriame savivaldybės įpareigojamos pasitvirtinti infrastruktūros plėtros įmokos tarifus, pagal patvirtintą Savivaldybės infrastruktūros plėtros įmokos nustatymo metodiką.</w:t>
            </w:r>
          </w:p>
          <w:p w14:paraId="6B0CEABC" w14:textId="77777777" w:rsidR="00802DA6" w:rsidRDefault="00802DA6" w:rsidP="00802DA6">
            <w:pPr>
              <w:tabs>
                <w:tab w:val="left" w:pos="0"/>
              </w:tabs>
              <w:rPr>
                <w:b/>
                <w:bCs/>
                <w:sz w:val="22"/>
              </w:rPr>
            </w:pPr>
            <w:r w:rsidRPr="00705037">
              <w:rPr>
                <w:rFonts w:ascii="TimesNewRomanPSMT" w:hAnsi="TimesNewRomanPSMT" w:cs="TimesNewRomanPSMT"/>
                <w:i/>
                <w:iCs/>
                <w:szCs w:val="24"/>
              </w:rPr>
              <w:t>Sprendimo projekto tikslas – įgyvendinti Lietuvos Respublikos savivaldybių infrastruktūros plėtros įstatymą ir su juo susijusius kitus įstatymus.</w:t>
            </w:r>
          </w:p>
        </w:tc>
      </w:tr>
      <w:tr w:rsidR="006A29E6" w14:paraId="6310B52A" w14:textId="77777777" w:rsidTr="00C64DDB">
        <w:tc>
          <w:tcPr>
            <w:tcW w:w="9639" w:type="dxa"/>
          </w:tcPr>
          <w:p w14:paraId="3CCB6C90" w14:textId="77777777" w:rsidR="006A29E6" w:rsidRDefault="006A29E6" w:rsidP="007371F4">
            <w:pPr>
              <w:tabs>
                <w:tab w:val="left" w:pos="0"/>
              </w:tabs>
              <w:jc w:val="both"/>
              <w:rPr>
                <w:sz w:val="22"/>
              </w:rPr>
            </w:pPr>
          </w:p>
        </w:tc>
      </w:tr>
      <w:tr w:rsidR="006A29E6" w14:paraId="4166142B" w14:textId="77777777" w:rsidTr="00C64DDB">
        <w:tc>
          <w:tcPr>
            <w:tcW w:w="9639" w:type="dxa"/>
          </w:tcPr>
          <w:p w14:paraId="1302F8D5" w14:textId="77777777" w:rsidR="006A29E6" w:rsidRDefault="006A29E6" w:rsidP="00802DA6">
            <w:pPr>
              <w:tabs>
                <w:tab w:val="left" w:pos="0"/>
              </w:tabs>
              <w:jc w:val="both"/>
              <w:rPr>
                <w:b/>
                <w:bCs/>
                <w:i/>
                <w:iCs/>
                <w:sz w:val="22"/>
              </w:rPr>
            </w:pPr>
            <w:r>
              <w:rPr>
                <w:b/>
                <w:bCs/>
                <w:i/>
                <w:iCs/>
                <w:sz w:val="22"/>
              </w:rPr>
              <w:t>2. Kaip šiuo metu yra sureguliuoti projekte aptarti klausimai.</w:t>
            </w:r>
          </w:p>
          <w:p w14:paraId="7410BE6B" w14:textId="5C75B1A4" w:rsidR="00802DA6" w:rsidRDefault="00802DA6" w:rsidP="00802DA6">
            <w:pPr>
              <w:tabs>
                <w:tab w:val="left" w:pos="0"/>
              </w:tabs>
              <w:jc w:val="both"/>
              <w:rPr>
                <w:b/>
                <w:bCs/>
                <w:sz w:val="22"/>
              </w:rPr>
            </w:pPr>
            <w:r w:rsidRPr="00CE3309">
              <w:rPr>
                <w:i/>
                <w:szCs w:val="24"/>
              </w:rPr>
              <w:t>Lietuvos Respublikos savivaldybių infrastruktūros plėtros įstatymo 4 straipsnio 2 dalies 4 punkte ir 14 straipsnio 4 dalyje nustatyta, kad savivaldybės taryba turi patvirtinti savivaldybės infrastruktūros plėtros įmokos tarifą (tarifus), o 14 straipsnio 2 punktas numato, kad savivaldybės infrastruktūros plėtros įmokos dalis, skirta savivaldybės infrastruktūros projektavimui, statybai ir (ar) įrengimui finansuoti, apskaičiuojama statinio ar statinio rekonstravimo į pastatą projekte nurodytą pastato (pastatų) bendrąjį plotą (kvadratiniais metrais) ir (ar) inžineriniu statiniu, kuris nėra savivaldybės infrastruktūra ir jo naudojimui reikalinga savivaldybės infrastruktūra, užstatytą plotą (kvadratiniais metrais) padauginant iš savivaldybės tarybos sprendimu patvirtinto savivaldybės infrastruktūros plėtros įmokos tarifo. Pastato rekonstravimo atveju savivaldybės infrastruktūros plėtros įmokos dalis apskaičiuojama rekonstruojamo pastato padidėjusią bendrojo ploto dalį (kvadratiniais metrais) padauginant iš savivaldybės tarybos sprendimu patvirtinto įmokos tarifo. Lietuvos Respublikos savivaldybių infrastruktūros plėtros įstatymo 14</w:t>
            </w:r>
            <w:r w:rsidR="00C64DDB">
              <w:rPr>
                <w:i/>
                <w:szCs w:val="24"/>
              </w:rPr>
              <w:t> </w:t>
            </w:r>
            <w:r w:rsidRPr="00CE3309">
              <w:rPr>
                <w:i/>
                <w:szCs w:val="24"/>
              </w:rPr>
              <w:t xml:space="preserve"> straipsnio </w:t>
            </w:r>
            <w:r>
              <w:rPr>
                <w:i/>
                <w:szCs w:val="24"/>
              </w:rPr>
              <w:br/>
            </w:r>
            <w:r w:rsidRPr="00CE3309">
              <w:rPr>
                <w:i/>
                <w:szCs w:val="24"/>
              </w:rPr>
              <w:t>4 punktas numato, kad teritorijose (zonose) gali būti tvirtinami skirtingi savivaldybės infrastruktūros plėtros įmokos tarifai, diferencijuojant pagal pastatų ir (ar) pagrindinę žemės naudojimo paskirtį, savivaldybės infrastruktūros išvystymo lygį ir plėtros poreikį.</w:t>
            </w:r>
          </w:p>
        </w:tc>
      </w:tr>
      <w:tr w:rsidR="006A29E6" w14:paraId="70FB6A3A" w14:textId="77777777" w:rsidTr="00C64DDB">
        <w:tc>
          <w:tcPr>
            <w:tcW w:w="9639" w:type="dxa"/>
          </w:tcPr>
          <w:p w14:paraId="042094DC" w14:textId="77777777" w:rsidR="006A29E6" w:rsidRDefault="006A29E6" w:rsidP="007371F4">
            <w:pPr>
              <w:jc w:val="both"/>
              <w:rPr>
                <w:sz w:val="22"/>
              </w:rPr>
            </w:pPr>
          </w:p>
        </w:tc>
      </w:tr>
      <w:tr w:rsidR="006A29E6" w14:paraId="2FA15A8C" w14:textId="77777777" w:rsidTr="00C64DDB">
        <w:tc>
          <w:tcPr>
            <w:tcW w:w="9639" w:type="dxa"/>
          </w:tcPr>
          <w:p w14:paraId="782716A6" w14:textId="77777777" w:rsidR="006A29E6" w:rsidRDefault="006A29E6" w:rsidP="007371F4">
            <w:pPr>
              <w:tabs>
                <w:tab w:val="left" w:pos="0"/>
              </w:tabs>
              <w:rPr>
                <w:b/>
                <w:bCs/>
                <w:i/>
                <w:iCs/>
                <w:sz w:val="22"/>
              </w:rPr>
            </w:pPr>
            <w:r>
              <w:rPr>
                <w:b/>
                <w:bCs/>
                <w:i/>
                <w:iCs/>
                <w:sz w:val="22"/>
              </w:rPr>
              <w:t>3. Kokių pozityvių rezultatų laukiama.</w:t>
            </w:r>
          </w:p>
          <w:p w14:paraId="0E9CC795" w14:textId="77777777" w:rsidR="007F45EB" w:rsidRDefault="007F45EB" w:rsidP="007F45EB">
            <w:pPr>
              <w:tabs>
                <w:tab w:val="left" w:pos="0"/>
              </w:tabs>
              <w:jc w:val="both"/>
              <w:rPr>
                <w:b/>
                <w:bCs/>
                <w:i/>
                <w:iCs/>
                <w:sz w:val="22"/>
              </w:rPr>
            </w:pPr>
            <w:r w:rsidRPr="00C561EE">
              <w:rPr>
                <w:rFonts w:ascii="TimesNewRomanPSMT" w:eastAsia="Calibri" w:hAnsi="TimesNewRomanPSMT" w:cs="Calibri"/>
                <w:i/>
                <w:iCs/>
                <w:szCs w:val="24"/>
                <w:highlight w:val="yellow"/>
                <w:lang w:eastAsia="en-US"/>
              </w:rPr>
              <w:t>Taikant nulinį savivaldybės infrastruktūros mokestį skatinamos gyvenamųjų namų bei stambių objektų statybos.</w:t>
            </w:r>
          </w:p>
        </w:tc>
      </w:tr>
      <w:tr w:rsidR="006A29E6" w14:paraId="2747AFFC" w14:textId="77777777" w:rsidTr="00C64DDB">
        <w:tc>
          <w:tcPr>
            <w:tcW w:w="9639" w:type="dxa"/>
          </w:tcPr>
          <w:p w14:paraId="5C1B8845" w14:textId="77777777" w:rsidR="006A29E6" w:rsidRDefault="006A29E6" w:rsidP="007371F4">
            <w:pPr>
              <w:tabs>
                <w:tab w:val="left" w:pos="0"/>
              </w:tabs>
              <w:jc w:val="both"/>
              <w:rPr>
                <w:sz w:val="22"/>
              </w:rPr>
            </w:pPr>
          </w:p>
        </w:tc>
      </w:tr>
      <w:tr w:rsidR="006A29E6" w14:paraId="6910F695" w14:textId="77777777" w:rsidTr="00C64DDB">
        <w:tc>
          <w:tcPr>
            <w:tcW w:w="9639" w:type="dxa"/>
          </w:tcPr>
          <w:p w14:paraId="0437262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p w14:paraId="52BE495A" w14:textId="77777777" w:rsidR="00802DA6" w:rsidRDefault="00802DA6" w:rsidP="007371F4">
            <w:pPr>
              <w:tabs>
                <w:tab w:val="left" w:pos="0"/>
              </w:tabs>
              <w:jc w:val="both"/>
              <w:rPr>
                <w:b/>
                <w:bCs/>
                <w:i/>
                <w:iCs/>
                <w:sz w:val="22"/>
              </w:rPr>
            </w:pPr>
            <w:r w:rsidRPr="00CE3309">
              <w:rPr>
                <w:i/>
                <w:szCs w:val="24"/>
              </w:rPr>
              <w:t>Neigiamų padarinių dėl priimto sprendimo projekto nenumatoma</w:t>
            </w:r>
            <w:r w:rsidRPr="00CE3309">
              <w:rPr>
                <w:i/>
                <w:spacing w:val="-6"/>
                <w:szCs w:val="24"/>
              </w:rPr>
              <w:t>.</w:t>
            </w:r>
          </w:p>
        </w:tc>
      </w:tr>
      <w:tr w:rsidR="006A29E6" w14:paraId="3FA762F8" w14:textId="77777777" w:rsidTr="00C64DDB">
        <w:tc>
          <w:tcPr>
            <w:tcW w:w="9639" w:type="dxa"/>
          </w:tcPr>
          <w:p w14:paraId="4AD099C1" w14:textId="77777777" w:rsidR="006A29E6" w:rsidRDefault="006A29E6" w:rsidP="007371F4">
            <w:pPr>
              <w:tabs>
                <w:tab w:val="left" w:pos="0"/>
              </w:tabs>
              <w:jc w:val="both"/>
              <w:rPr>
                <w:sz w:val="20"/>
              </w:rPr>
            </w:pPr>
          </w:p>
        </w:tc>
      </w:tr>
      <w:tr w:rsidR="006A29E6" w14:paraId="1B822810" w14:textId="77777777" w:rsidTr="00C64DDB">
        <w:tc>
          <w:tcPr>
            <w:tcW w:w="9639" w:type="dxa"/>
          </w:tcPr>
          <w:p w14:paraId="138CA67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p w14:paraId="15DB5CC1" w14:textId="77777777" w:rsidR="000445B4" w:rsidRDefault="000445B4" w:rsidP="007371F4">
            <w:pPr>
              <w:tabs>
                <w:tab w:val="left" w:pos="0"/>
              </w:tabs>
              <w:jc w:val="both"/>
              <w:rPr>
                <w:b/>
                <w:bCs/>
                <w:i/>
                <w:iCs/>
                <w:sz w:val="22"/>
              </w:rPr>
            </w:pPr>
            <w:r w:rsidRPr="00705037">
              <w:rPr>
                <w:rFonts w:ascii="TimesNewRomanPSMT" w:hAnsi="TimesNewRomanPSMT" w:cs="TimesNewRomanPSMT"/>
                <w:i/>
                <w:iCs/>
                <w:szCs w:val="24"/>
              </w:rPr>
              <w:t>Kitų tesės aktų keisti nereikės.</w:t>
            </w:r>
          </w:p>
        </w:tc>
      </w:tr>
      <w:tr w:rsidR="006A29E6" w14:paraId="3AAC4FE3" w14:textId="77777777" w:rsidTr="00C64DDB">
        <w:tc>
          <w:tcPr>
            <w:tcW w:w="9639" w:type="dxa"/>
          </w:tcPr>
          <w:p w14:paraId="6B47C062" w14:textId="77777777" w:rsidR="006A29E6" w:rsidRDefault="006A29E6" w:rsidP="007371F4">
            <w:pPr>
              <w:tabs>
                <w:tab w:val="left" w:pos="0"/>
              </w:tabs>
              <w:jc w:val="both"/>
              <w:rPr>
                <w:sz w:val="22"/>
              </w:rPr>
            </w:pPr>
          </w:p>
        </w:tc>
      </w:tr>
      <w:tr w:rsidR="006A29E6" w14:paraId="147D64E4" w14:textId="77777777" w:rsidTr="00C64DDB">
        <w:tc>
          <w:tcPr>
            <w:tcW w:w="9639" w:type="dxa"/>
          </w:tcPr>
          <w:p w14:paraId="7F817AAC"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54C1611" w14:textId="77777777" w:rsidR="00FB2F96" w:rsidRDefault="00FB2F96" w:rsidP="007371F4">
            <w:pPr>
              <w:tabs>
                <w:tab w:val="left" w:pos="0"/>
              </w:tabs>
              <w:rPr>
                <w:b/>
                <w:bCs/>
                <w:i/>
                <w:iCs/>
                <w:sz w:val="22"/>
              </w:rPr>
            </w:pPr>
            <w:r w:rsidRPr="00CE3309">
              <w:rPr>
                <w:bCs/>
                <w:i/>
                <w:iCs/>
                <w:szCs w:val="24"/>
              </w:rPr>
              <w:t>Nėra, finansuoti nereikia</w:t>
            </w:r>
          </w:p>
          <w:p w14:paraId="72F74E22" w14:textId="77777777" w:rsidR="006A29E6" w:rsidRDefault="006A29E6" w:rsidP="007371F4">
            <w:pPr>
              <w:tabs>
                <w:tab w:val="left" w:pos="0"/>
              </w:tabs>
              <w:rPr>
                <w:b/>
                <w:bCs/>
                <w:i/>
                <w:iCs/>
                <w:sz w:val="22"/>
              </w:rPr>
            </w:pPr>
          </w:p>
        </w:tc>
      </w:tr>
      <w:tr w:rsidR="006A29E6" w14:paraId="6A82CC6E" w14:textId="77777777" w:rsidTr="00C64DDB">
        <w:tc>
          <w:tcPr>
            <w:tcW w:w="9639" w:type="dxa"/>
          </w:tcPr>
          <w:p w14:paraId="2994401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76B9436" w14:textId="77777777" w:rsidR="009E2AD1" w:rsidRDefault="009E2AD1" w:rsidP="007371F4">
            <w:pPr>
              <w:tabs>
                <w:tab w:val="left" w:pos="0"/>
              </w:tabs>
              <w:jc w:val="both"/>
              <w:rPr>
                <w:b/>
                <w:i/>
                <w:sz w:val="22"/>
              </w:rPr>
            </w:pPr>
            <w:r w:rsidRPr="00CE3309">
              <w:rPr>
                <w:i/>
                <w:szCs w:val="24"/>
              </w:rPr>
              <w:t>Nereikalingas</w:t>
            </w:r>
          </w:p>
          <w:p w14:paraId="3521BE00" w14:textId="77777777" w:rsidR="006A29E6" w:rsidRDefault="006A29E6" w:rsidP="007371F4">
            <w:pPr>
              <w:tabs>
                <w:tab w:val="left" w:pos="0"/>
              </w:tabs>
              <w:jc w:val="both"/>
              <w:rPr>
                <w:sz w:val="22"/>
              </w:rPr>
            </w:pPr>
          </w:p>
        </w:tc>
      </w:tr>
      <w:tr w:rsidR="006A29E6" w14:paraId="659B6E48" w14:textId="77777777" w:rsidTr="00C64DDB">
        <w:tc>
          <w:tcPr>
            <w:tcW w:w="9639" w:type="dxa"/>
          </w:tcPr>
          <w:p w14:paraId="36E98E46" w14:textId="77777777" w:rsidR="006A29E6" w:rsidRDefault="006A29E6" w:rsidP="007371F4">
            <w:pPr>
              <w:tabs>
                <w:tab w:val="left" w:pos="0"/>
              </w:tabs>
              <w:jc w:val="both"/>
              <w:rPr>
                <w:b/>
                <w:i/>
                <w:sz w:val="22"/>
              </w:rPr>
            </w:pPr>
            <w:r>
              <w:rPr>
                <w:b/>
                <w:i/>
                <w:sz w:val="22"/>
              </w:rPr>
              <w:t>8. Projekto iniciatorius, autorius ar autorių grupė.</w:t>
            </w:r>
          </w:p>
          <w:p w14:paraId="3903E600" w14:textId="77777777" w:rsidR="009E2AD1" w:rsidRDefault="009E2AD1" w:rsidP="007371F4">
            <w:pPr>
              <w:tabs>
                <w:tab w:val="left" w:pos="0"/>
              </w:tabs>
              <w:jc w:val="both"/>
              <w:rPr>
                <w:b/>
                <w:i/>
                <w:sz w:val="22"/>
              </w:rPr>
            </w:pPr>
            <w:r w:rsidRPr="00CE3309">
              <w:rPr>
                <w:i/>
                <w:szCs w:val="24"/>
              </w:rPr>
              <w:t>Infrastruktūros ir turto skyri</w:t>
            </w:r>
            <w:r>
              <w:rPr>
                <w:i/>
                <w:szCs w:val="24"/>
              </w:rPr>
              <w:t>us</w:t>
            </w:r>
          </w:p>
        </w:tc>
      </w:tr>
      <w:tr w:rsidR="006A29E6" w14:paraId="10936248" w14:textId="77777777" w:rsidTr="00C64DDB">
        <w:tc>
          <w:tcPr>
            <w:tcW w:w="9639" w:type="dxa"/>
          </w:tcPr>
          <w:p w14:paraId="16E2A9A8" w14:textId="77777777" w:rsidR="006A29E6" w:rsidRDefault="006A29E6" w:rsidP="007371F4">
            <w:pPr>
              <w:tabs>
                <w:tab w:val="left" w:pos="0"/>
              </w:tabs>
              <w:jc w:val="both"/>
              <w:rPr>
                <w:sz w:val="22"/>
              </w:rPr>
            </w:pPr>
          </w:p>
        </w:tc>
      </w:tr>
      <w:tr w:rsidR="006A29E6" w14:paraId="7C0A74FC" w14:textId="77777777" w:rsidTr="00C64DDB">
        <w:tc>
          <w:tcPr>
            <w:tcW w:w="9639" w:type="dxa"/>
          </w:tcPr>
          <w:p w14:paraId="012E2C3E" w14:textId="77777777" w:rsidR="006A29E6" w:rsidRDefault="006A29E6" w:rsidP="007371F4">
            <w:pPr>
              <w:tabs>
                <w:tab w:val="left" w:pos="0"/>
              </w:tabs>
              <w:rPr>
                <w:b/>
                <w:bCs/>
                <w:i/>
                <w:iCs/>
                <w:sz w:val="22"/>
              </w:rPr>
            </w:pPr>
            <w:r>
              <w:rPr>
                <w:b/>
                <w:bCs/>
                <w:i/>
                <w:iCs/>
                <w:sz w:val="22"/>
              </w:rPr>
              <w:t>9. Kiti, autorių nuomone, reikalingi pagrindimai ir paaiškinimai.</w:t>
            </w:r>
          </w:p>
          <w:p w14:paraId="6363EFF5" w14:textId="77777777" w:rsidR="007F5236" w:rsidRDefault="007F5236" w:rsidP="007371F4">
            <w:pPr>
              <w:tabs>
                <w:tab w:val="left" w:pos="0"/>
              </w:tabs>
              <w:rPr>
                <w:b/>
                <w:bCs/>
                <w:i/>
                <w:iCs/>
                <w:sz w:val="22"/>
              </w:rPr>
            </w:pPr>
            <w:r w:rsidRPr="00CE3309">
              <w:rPr>
                <w:bCs/>
                <w:i/>
                <w:iCs/>
                <w:szCs w:val="24"/>
              </w:rPr>
              <w:t>Nėra</w:t>
            </w:r>
          </w:p>
          <w:p w14:paraId="0BF97502" w14:textId="77777777" w:rsidR="006A29E6" w:rsidRDefault="006A29E6" w:rsidP="007371F4">
            <w:pPr>
              <w:tabs>
                <w:tab w:val="left" w:pos="0"/>
              </w:tabs>
              <w:rPr>
                <w:b/>
                <w:bCs/>
                <w:i/>
                <w:iCs/>
                <w:sz w:val="22"/>
              </w:rPr>
            </w:pPr>
          </w:p>
        </w:tc>
      </w:tr>
      <w:tr w:rsidR="006A29E6" w14:paraId="3016FB1D" w14:textId="77777777" w:rsidTr="00C64DDB">
        <w:tc>
          <w:tcPr>
            <w:tcW w:w="9639" w:type="dxa"/>
          </w:tcPr>
          <w:p w14:paraId="3836EEA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p w14:paraId="2E6DF69A" w14:textId="77777777" w:rsidR="007F5236" w:rsidRDefault="007F5236" w:rsidP="007371F4">
            <w:pPr>
              <w:tabs>
                <w:tab w:val="left" w:pos="0"/>
              </w:tabs>
              <w:jc w:val="both"/>
              <w:rPr>
                <w:b/>
                <w:i/>
                <w:sz w:val="22"/>
              </w:rPr>
            </w:pPr>
          </w:p>
          <w:tbl>
            <w:tblPr>
              <w:tblW w:w="0" w:type="auto"/>
              <w:tblLook w:val="0000" w:firstRow="0" w:lastRow="0" w:firstColumn="0" w:lastColumn="0" w:noHBand="0" w:noVBand="0"/>
            </w:tblPr>
            <w:tblGrid>
              <w:gridCol w:w="9423"/>
            </w:tblGrid>
            <w:tr w:rsidR="007F5236" w14:paraId="7540FEE4" w14:textId="77777777" w:rsidTr="00310B22">
              <w:tc>
                <w:tcPr>
                  <w:tcW w:w="9854" w:type="dxa"/>
                </w:tcPr>
                <w:p w14:paraId="4B9A306F" w14:textId="77777777" w:rsidR="007F5236" w:rsidRDefault="007F5236" w:rsidP="007F5236">
                  <w:pPr>
                    <w:tabs>
                      <w:tab w:val="left" w:pos="0"/>
                    </w:tabs>
                    <w:jc w:val="both"/>
                    <w:rPr>
                      <w:b/>
                      <w:i/>
                      <w:sz w:val="22"/>
                    </w:rPr>
                  </w:pPr>
                  <w:r w:rsidRPr="00CE3309">
                    <w:rPr>
                      <w:i/>
                      <w:szCs w:val="24"/>
                    </w:rPr>
                    <w:t>Infrastruktūros ir turto skyriui ir visiems seniūnams</w:t>
                  </w:r>
                  <w:r>
                    <w:rPr>
                      <w:i/>
                      <w:szCs w:val="24"/>
                    </w:rPr>
                    <w:t>.</w:t>
                  </w:r>
                </w:p>
              </w:tc>
            </w:tr>
          </w:tbl>
          <w:p w14:paraId="597F7899" w14:textId="77777777" w:rsidR="007F5236" w:rsidRDefault="007F5236" w:rsidP="007F5236"/>
          <w:p w14:paraId="0A426485" w14:textId="77777777" w:rsidR="007F5236" w:rsidRDefault="007F5236" w:rsidP="007371F4">
            <w:pPr>
              <w:tabs>
                <w:tab w:val="left" w:pos="0"/>
              </w:tabs>
              <w:jc w:val="both"/>
              <w:rPr>
                <w:b/>
                <w:i/>
                <w:sz w:val="22"/>
              </w:rPr>
            </w:pPr>
          </w:p>
        </w:tc>
      </w:tr>
      <w:tr w:rsidR="006A29E6" w14:paraId="6E78042A" w14:textId="77777777" w:rsidTr="00C64DDB">
        <w:tc>
          <w:tcPr>
            <w:tcW w:w="9639" w:type="dxa"/>
          </w:tcPr>
          <w:tbl>
            <w:tblPr>
              <w:tblW w:w="0" w:type="auto"/>
              <w:tblLook w:val="0000" w:firstRow="0" w:lastRow="0" w:firstColumn="0" w:lastColumn="0" w:noHBand="0" w:noVBand="0"/>
            </w:tblPr>
            <w:tblGrid>
              <w:gridCol w:w="9423"/>
            </w:tblGrid>
            <w:tr w:rsidR="007F5236" w14:paraId="7A4EC67F" w14:textId="77777777" w:rsidTr="00310B22">
              <w:tc>
                <w:tcPr>
                  <w:tcW w:w="9854" w:type="dxa"/>
                </w:tcPr>
                <w:p w14:paraId="7CAC553B" w14:textId="77777777" w:rsidR="007F5236" w:rsidRDefault="007F5236" w:rsidP="007F5236">
                  <w:pPr>
                    <w:tabs>
                      <w:tab w:val="left" w:pos="0"/>
                    </w:tabs>
                    <w:jc w:val="both"/>
                    <w:rPr>
                      <w:b/>
                      <w:i/>
                      <w:sz w:val="22"/>
                    </w:rPr>
                  </w:pPr>
                </w:p>
              </w:tc>
            </w:tr>
          </w:tbl>
          <w:p w14:paraId="3B21DEF6" w14:textId="77777777" w:rsidR="007F5236" w:rsidRDefault="007F5236" w:rsidP="007F5236"/>
          <w:p w14:paraId="1D7361B4" w14:textId="77777777" w:rsidR="006A29E6" w:rsidRDefault="006A29E6" w:rsidP="007371F4">
            <w:pPr>
              <w:tabs>
                <w:tab w:val="left" w:pos="0"/>
              </w:tabs>
              <w:jc w:val="both"/>
              <w:rPr>
                <w:b/>
                <w:i/>
                <w:sz w:val="22"/>
              </w:rPr>
            </w:pPr>
          </w:p>
        </w:tc>
      </w:tr>
    </w:tbl>
    <w:p w14:paraId="0D44ADEE" w14:textId="77777777" w:rsidR="006A29E6" w:rsidRDefault="006A29E6" w:rsidP="006A29E6"/>
    <w:p w14:paraId="1ED141E1" w14:textId="77777777" w:rsidR="002E1F99" w:rsidRDefault="002E1F99" w:rsidP="002E1F99">
      <w:pPr>
        <w:tabs>
          <w:tab w:val="left" w:pos="567"/>
        </w:tabs>
      </w:pPr>
    </w:p>
    <w:p w14:paraId="5CD913FA" w14:textId="77777777" w:rsidR="00FB2F96" w:rsidRDefault="00FB2F96" w:rsidP="002E1F99">
      <w:pPr>
        <w:tabs>
          <w:tab w:val="left" w:pos="567"/>
        </w:tabs>
      </w:pPr>
    </w:p>
    <w:p w14:paraId="0EE0435A" w14:textId="77777777" w:rsidR="00FB2F96" w:rsidRDefault="00FB2F96" w:rsidP="002E1F99">
      <w:pPr>
        <w:tabs>
          <w:tab w:val="left" w:pos="567"/>
        </w:tabs>
      </w:pPr>
    </w:p>
    <w:p w14:paraId="4C848BE4" w14:textId="77777777" w:rsidR="00FB2F96" w:rsidRDefault="00FB2F96" w:rsidP="002E1F99">
      <w:pPr>
        <w:tabs>
          <w:tab w:val="left" w:pos="567"/>
        </w:tabs>
      </w:pPr>
    </w:p>
    <w:p w14:paraId="13F78C83" w14:textId="77777777" w:rsidR="00FB2F96" w:rsidRDefault="00FB2F96" w:rsidP="002E1F99">
      <w:pPr>
        <w:tabs>
          <w:tab w:val="left" w:pos="567"/>
        </w:tabs>
      </w:pPr>
    </w:p>
    <w:p w14:paraId="1AD63989" w14:textId="77777777" w:rsidR="00FB2F96" w:rsidRDefault="00FB2F96" w:rsidP="002E1F99">
      <w:pPr>
        <w:tabs>
          <w:tab w:val="left" w:pos="567"/>
        </w:tabs>
      </w:pPr>
    </w:p>
    <w:p w14:paraId="2769FC3C" w14:textId="77777777" w:rsidR="00FB2F96" w:rsidRDefault="00FB2F96" w:rsidP="002E1F99">
      <w:pPr>
        <w:tabs>
          <w:tab w:val="left" w:pos="567"/>
        </w:tabs>
      </w:pPr>
    </w:p>
    <w:p w14:paraId="27FE5DDE" w14:textId="77777777" w:rsidR="00FB2F96" w:rsidRDefault="00FB2F96" w:rsidP="002E1F99">
      <w:pPr>
        <w:tabs>
          <w:tab w:val="left" w:pos="567"/>
        </w:tabs>
      </w:pPr>
    </w:p>
    <w:p w14:paraId="6463DFD8" w14:textId="77777777" w:rsidR="00FB2F96" w:rsidRDefault="00FB2F96" w:rsidP="002E1F99">
      <w:pPr>
        <w:tabs>
          <w:tab w:val="left" w:pos="567"/>
        </w:tabs>
      </w:pPr>
    </w:p>
    <w:p w14:paraId="668F4545" w14:textId="77777777" w:rsidR="00FB2F96" w:rsidRDefault="00FB2F96" w:rsidP="002E1F99">
      <w:pPr>
        <w:tabs>
          <w:tab w:val="left" w:pos="567"/>
        </w:tabs>
      </w:pPr>
    </w:p>
    <w:p w14:paraId="2161662C" w14:textId="77777777" w:rsidR="00FB2F96" w:rsidRDefault="00FB2F96" w:rsidP="002E1F99">
      <w:pPr>
        <w:tabs>
          <w:tab w:val="left" w:pos="567"/>
        </w:tabs>
      </w:pPr>
    </w:p>
    <w:p w14:paraId="3099745C" w14:textId="77777777" w:rsidR="00FB2F96" w:rsidRDefault="00FB2F96" w:rsidP="002E1F99">
      <w:pPr>
        <w:tabs>
          <w:tab w:val="left" w:pos="567"/>
        </w:tabs>
      </w:pPr>
    </w:p>
    <w:p w14:paraId="0A11C71D" w14:textId="77777777" w:rsidR="00FB2F96" w:rsidRDefault="00FB2F96" w:rsidP="002E1F99">
      <w:pPr>
        <w:tabs>
          <w:tab w:val="left" w:pos="567"/>
        </w:tabs>
      </w:pPr>
    </w:p>
    <w:p w14:paraId="67106745" w14:textId="77777777" w:rsidR="00FB2F96" w:rsidRDefault="00FB2F96" w:rsidP="002E1F99">
      <w:pPr>
        <w:tabs>
          <w:tab w:val="left" w:pos="567"/>
        </w:tabs>
      </w:pPr>
    </w:p>
    <w:p w14:paraId="7B56A3B2" w14:textId="77777777" w:rsidR="00FB2F96" w:rsidRDefault="00FB2F96" w:rsidP="002E1F99">
      <w:pPr>
        <w:tabs>
          <w:tab w:val="left" w:pos="567"/>
        </w:tabs>
      </w:pPr>
    </w:p>
    <w:p w14:paraId="45D2D781" w14:textId="77777777" w:rsidR="00FB2F96" w:rsidRDefault="00FB2F96" w:rsidP="002E1F99">
      <w:pPr>
        <w:tabs>
          <w:tab w:val="left" w:pos="567"/>
        </w:tabs>
      </w:pPr>
    </w:p>
    <w:p w14:paraId="44A242CF" w14:textId="77777777" w:rsidR="002E1F99" w:rsidRDefault="002E1F99" w:rsidP="002E1F99">
      <w:pPr>
        <w:tabs>
          <w:tab w:val="left" w:pos="567"/>
        </w:tabs>
      </w:pPr>
    </w:p>
    <w:p w14:paraId="1FE9DBF6" w14:textId="77777777" w:rsidR="00B668F0" w:rsidRDefault="00B668F0" w:rsidP="00B668F0">
      <w:r>
        <w:t>Parengė</w:t>
      </w:r>
    </w:p>
    <w:p w14:paraId="69A84142" w14:textId="77777777" w:rsidR="00B668F0" w:rsidRDefault="00B668F0" w:rsidP="00B668F0"/>
    <w:p w14:paraId="76DC7975" w14:textId="77777777" w:rsidR="00B668F0" w:rsidRDefault="00513B3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032C80B5" w14:textId="77777777" w:rsidR="00B668F0" w:rsidRDefault="00B668F0" w:rsidP="00B668F0">
      <w:pPr>
        <w:pStyle w:val="Antrats"/>
        <w:tabs>
          <w:tab w:val="clear" w:pos="4153"/>
          <w:tab w:val="clear" w:pos="8306"/>
        </w:tabs>
        <w:rPr>
          <w:lang w:eastAsia="de-DE"/>
        </w:rPr>
      </w:pPr>
    </w:p>
    <w:p w14:paraId="5D525554" w14:textId="77777777" w:rsidR="00B668F0" w:rsidRDefault="00513B3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2024-12-18</w:t>
      </w:r>
      <w:r>
        <w:rPr>
          <w:noProof/>
        </w:rPr>
        <w:fldChar w:fldCharType="end"/>
      </w:r>
    </w:p>
    <w:p w14:paraId="3AA04C7D"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288A3" w14:textId="77777777" w:rsidR="001D3FB6" w:rsidRDefault="001D3FB6">
      <w:r>
        <w:separator/>
      </w:r>
    </w:p>
  </w:endnote>
  <w:endnote w:type="continuationSeparator" w:id="0">
    <w:p w14:paraId="4D3ADB2C" w14:textId="77777777" w:rsidR="001D3FB6" w:rsidRDefault="001D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903AD" w14:textId="77777777" w:rsidR="001D3FB6" w:rsidRDefault="001D3FB6">
      <w:r>
        <w:separator/>
      </w:r>
    </w:p>
  </w:footnote>
  <w:footnote w:type="continuationSeparator" w:id="0">
    <w:p w14:paraId="216CF413" w14:textId="77777777" w:rsidR="001D3FB6" w:rsidRDefault="001D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B61EA" w14:textId="77777777" w:rsidR="00FC1CD3" w:rsidRDefault="00513B3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B83A5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363F" w14:textId="77777777" w:rsidR="00FC1CD3" w:rsidRDefault="00FC1CD3">
    <w:pPr>
      <w:pStyle w:val="Antrats"/>
      <w:framePr w:wrap="around" w:vAnchor="text" w:hAnchor="margin" w:xAlign="center" w:y="1"/>
      <w:rPr>
        <w:rStyle w:val="Puslapionumeris"/>
      </w:rPr>
    </w:pPr>
  </w:p>
  <w:p w14:paraId="0F63ECE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16800413">
    <w:abstractNumId w:val="3"/>
  </w:num>
  <w:num w:numId="2" w16cid:durableId="1618440394">
    <w:abstractNumId w:val="2"/>
  </w:num>
  <w:num w:numId="3" w16cid:durableId="341666098">
    <w:abstractNumId w:val="4"/>
  </w:num>
  <w:num w:numId="4" w16cid:durableId="1884555399">
    <w:abstractNumId w:val="1"/>
  </w:num>
  <w:num w:numId="5" w16cid:durableId="1189414480">
    <w:abstractNumId w:val="6"/>
  </w:num>
  <w:num w:numId="6" w16cid:durableId="1759793848">
    <w:abstractNumId w:val="5"/>
  </w:num>
  <w:num w:numId="7" w16cid:durableId="214279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C45"/>
    <w:rsid w:val="00015722"/>
    <w:rsid w:val="000258A2"/>
    <w:rsid w:val="00031B2B"/>
    <w:rsid w:val="00033A70"/>
    <w:rsid w:val="0003441C"/>
    <w:rsid w:val="000445B4"/>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5C5E"/>
    <w:rsid w:val="001D3FB6"/>
    <w:rsid w:val="001D4EA6"/>
    <w:rsid w:val="00203CFC"/>
    <w:rsid w:val="00207BCB"/>
    <w:rsid w:val="00226341"/>
    <w:rsid w:val="002325F6"/>
    <w:rsid w:val="00234B9B"/>
    <w:rsid w:val="00246055"/>
    <w:rsid w:val="00251454"/>
    <w:rsid w:val="00281984"/>
    <w:rsid w:val="002C3A9D"/>
    <w:rsid w:val="002D1BA8"/>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3EA3"/>
    <w:rsid w:val="004B0CB9"/>
    <w:rsid w:val="004B1E88"/>
    <w:rsid w:val="004B2369"/>
    <w:rsid w:val="004B3700"/>
    <w:rsid w:val="004B7BDB"/>
    <w:rsid w:val="00501C69"/>
    <w:rsid w:val="00513B30"/>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6D73"/>
    <w:rsid w:val="00697D48"/>
    <w:rsid w:val="006A29E6"/>
    <w:rsid w:val="006B72D3"/>
    <w:rsid w:val="006F35F0"/>
    <w:rsid w:val="0073170A"/>
    <w:rsid w:val="00732616"/>
    <w:rsid w:val="00734333"/>
    <w:rsid w:val="00744E20"/>
    <w:rsid w:val="007457FF"/>
    <w:rsid w:val="00771DAD"/>
    <w:rsid w:val="007860A8"/>
    <w:rsid w:val="007C524A"/>
    <w:rsid w:val="007E13A9"/>
    <w:rsid w:val="007E57D4"/>
    <w:rsid w:val="007F45EB"/>
    <w:rsid w:val="007F5236"/>
    <w:rsid w:val="00802DA6"/>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7120"/>
    <w:rsid w:val="009E2AD1"/>
    <w:rsid w:val="00A1347F"/>
    <w:rsid w:val="00A151E4"/>
    <w:rsid w:val="00A31AA9"/>
    <w:rsid w:val="00A44CD5"/>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29F4"/>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561EE"/>
    <w:rsid w:val="00C61D7C"/>
    <w:rsid w:val="00C64DDB"/>
    <w:rsid w:val="00C7179E"/>
    <w:rsid w:val="00C76C50"/>
    <w:rsid w:val="00C800F0"/>
    <w:rsid w:val="00C83B11"/>
    <w:rsid w:val="00C95C12"/>
    <w:rsid w:val="00CC0BB5"/>
    <w:rsid w:val="00CE2BB0"/>
    <w:rsid w:val="00CE349F"/>
    <w:rsid w:val="00CE4FEE"/>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05D54"/>
    <w:rsid w:val="00F20019"/>
    <w:rsid w:val="00F27C80"/>
    <w:rsid w:val="00F320CA"/>
    <w:rsid w:val="00F40651"/>
    <w:rsid w:val="00F4093E"/>
    <w:rsid w:val="00F41A98"/>
    <w:rsid w:val="00F4316F"/>
    <w:rsid w:val="00F6384B"/>
    <w:rsid w:val="00F67640"/>
    <w:rsid w:val="00F75C89"/>
    <w:rsid w:val="00F7723D"/>
    <w:rsid w:val="00FB0BBB"/>
    <w:rsid w:val="00FB2F96"/>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4137"/>
  <w15:docId w15:val="{210643E7-AD0C-4417-94EA-8AE07EA3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3734</Words>
  <Characters>2129</Characters>
  <Application>Microsoft Office Word</Application>
  <DocSecurity>0</DocSecurity>
  <Lines>17</Lines>
  <Paragraphs>11</Paragraphs>
  <ScaleCrop>false</ScaleCrop>
  <Company>Sveikatos apsaugos ministerija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2024-12-18T08:52:00Z</dcterms:created>
  <dcterms:modified xsi:type="dcterms:W3CDTF">2024-12-18T08:53:00Z</dcterms:modified>
</cp:coreProperties>
</file>