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FEC95" w14:textId="77777777" w:rsidR="00084E27" w:rsidRPr="002C3C44" w:rsidRDefault="00084E27" w:rsidP="00084E27">
      <w:pPr>
        <w:jc w:val="center"/>
        <w:rPr>
          <w:b/>
        </w:rPr>
      </w:pPr>
      <w:r>
        <w:rPr>
          <w:b/>
        </w:rPr>
        <w:t xml:space="preserve">Su </w:t>
      </w:r>
      <w:r w:rsidRPr="00DE7454">
        <w:rPr>
          <w:b/>
        </w:rPr>
        <w:t xml:space="preserve">Tauragės regiono komunalinių atliekų ir komunalinėms atliekoms nepriskiriamų buityje susidarančių atliekų tvarkymu susijusios sąnaudos </w:t>
      </w:r>
      <w:r>
        <w:rPr>
          <w:b/>
        </w:rPr>
        <w:t>ir komunalinių atliekų tvarkymo kaina</w:t>
      </w:r>
    </w:p>
    <w:p w14:paraId="3CD3CF25" w14:textId="77777777" w:rsidR="00084E27" w:rsidRDefault="00084E27" w:rsidP="00084E27">
      <w:pPr>
        <w:rPr>
          <w:bCs/>
        </w:rPr>
      </w:pPr>
    </w:p>
    <w:p w14:paraId="24BE8F11" w14:textId="77777777" w:rsidR="00084E27" w:rsidRDefault="00084E27" w:rsidP="00084E27">
      <w:pPr>
        <w:rPr>
          <w:bCs/>
        </w:rPr>
      </w:pPr>
      <w:r>
        <w:rPr>
          <w:bCs/>
        </w:rPr>
        <w:t xml:space="preserve">Žemiau lentelėje pateikiamos 2024 m. ir 2025 m. prognozuojamos su Tauragės regiono komunalinių atliekų ir komunalinėms atliekoms nepriskiriamų buityje susidarančių atliekų tvarkymu susijusios sąnaudos. </w:t>
      </w:r>
    </w:p>
    <w:p w14:paraId="3D8343BC" w14:textId="77777777" w:rsidR="00084E27" w:rsidRDefault="00084E27" w:rsidP="00084E27">
      <w:pPr>
        <w:rPr>
          <w:bCs/>
        </w:rPr>
      </w:pPr>
    </w:p>
    <w:p w14:paraId="6FCA64DA" w14:textId="77777777" w:rsidR="00084E27" w:rsidRDefault="00084E27" w:rsidP="00084E27">
      <w:pPr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2024 m. ir </w:t>
      </w:r>
      <w:r w:rsidRPr="001B5E55">
        <w:rPr>
          <w:rFonts w:eastAsia="Times New Roman"/>
          <w:lang w:eastAsia="lt-LT"/>
        </w:rPr>
        <w:t xml:space="preserve">2025 m. </w:t>
      </w:r>
      <w:r>
        <w:rPr>
          <w:rFonts w:eastAsia="Times New Roman"/>
          <w:lang w:eastAsia="lt-LT"/>
        </w:rPr>
        <w:t>prognozuojamos</w:t>
      </w:r>
      <w:r w:rsidRPr="001B5E55">
        <w:rPr>
          <w:rFonts w:eastAsia="Times New Roman"/>
          <w:lang w:eastAsia="lt-LT"/>
        </w:rPr>
        <w:t xml:space="preserve"> </w:t>
      </w:r>
      <w:r>
        <w:rPr>
          <w:rFonts w:eastAsia="Times New Roman"/>
          <w:lang w:eastAsia="lt-LT"/>
        </w:rPr>
        <w:t xml:space="preserve">Tauragės regiono </w:t>
      </w:r>
      <w:r w:rsidRPr="001B5E55">
        <w:rPr>
          <w:rFonts w:eastAsia="Times New Roman"/>
          <w:lang w:eastAsia="lt-LT"/>
        </w:rPr>
        <w:t>su atliekų tvarkymu susijusios sąnaudos, Eur su PVM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531"/>
        <w:gridCol w:w="1843"/>
        <w:gridCol w:w="1559"/>
        <w:gridCol w:w="1985"/>
      </w:tblGrid>
      <w:tr w:rsidR="00084E27" w:rsidRPr="00084E27" w14:paraId="2846856A" w14:textId="77777777" w:rsidTr="00084E27">
        <w:trPr>
          <w:trHeight w:val="3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1E2F70E7" w14:textId="77777777" w:rsidR="00084E27" w:rsidRPr="00084E27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084E27">
              <w:rPr>
                <w:rFonts w:eastAsia="Times New Roman"/>
                <w:b/>
                <w:bCs/>
                <w:color w:val="00000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1D0B22F7" w14:textId="77777777" w:rsidR="00084E27" w:rsidRPr="00084E27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4E27">
              <w:rPr>
                <w:rFonts w:eastAsia="Times New Roman"/>
                <w:b/>
                <w:bCs/>
                <w:color w:val="000000"/>
                <w:lang w:val="en-US"/>
              </w:rPr>
              <w:t>2024 m.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4F49176D" w14:textId="77777777" w:rsidR="00084E27" w:rsidRPr="00084E27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4E27">
              <w:rPr>
                <w:rFonts w:eastAsia="Times New Roman"/>
                <w:b/>
                <w:bCs/>
                <w:color w:val="000000"/>
                <w:lang w:val="en-US"/>
              </w:rPr>
              <w:t>2025 m.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center"/>
            <w:hideMark/>
          </w:tcPr>
          <w:p w14:paraId="42148531" w14:textId="77777777" w:rsidR="00084E27" w:rsidRPr="00084E27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084E27">
              <w:rPr>
                <w:rFonts w:eastAsia="Times New Roman"/>
                <w:b/>
                <w:bCs/>
                <w:color w:val="000000"/>
                <w:lang w:val="en-US"/>
              </w:rPr>
              <w:t>Skirtumas</w:t>
            </w:r>
            <w:proofErr w:type="spellEnd"/>
            <w:r w:rsidRPr="00084E27">
              <w:rPr>
                <w:rFonts w:eastAsia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084E27">
              <w:rPr>
                <w:rFonts w:eastAsia="Times New Roman"/>
                <w:b/>
                <w:bCs/>
                <w:color w:val="000000"/>
                <w:lang w:val="en-US"/>
              </w:rPr>
              <w:t>Eur</w:t>
            </w:r>
            <w:proofErr w:type="spellEnd"/>
          </w:p>
        </w:tc>
      </w:tr>
      <w:tr w:rsidR="00084E27" w:rsidRPr="00084E27" w14:paraId="54D3025F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3478FA77" w14:textId="77777777" w:rsidR="00084E27" w:rsidRPr="00084E27" w:rsidRDefault="00084E27" w:rsidP="00084E27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84E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МКА </w:t>
            </w:r>
            <w:proofErr w:type="spellStart"/>
            <w:r w:rsidRPr="00084E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084E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E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084E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E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vežimo</w:t>
            </w:r>
            <w:proofErr w:type="spellEnd"/>
            <w:r w:rsidRPr="00084E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E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202D8199" w14:textId="77777777" w:rsidR="00084E27" w:rsidRPr="00084E27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84E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1 059 401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0CD1804F" w14:textId="77777777" w:rsidR="00084E27" w:rsidRPr="00084E27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84E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1 292 583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5E6A2"/>
            <w:noWrap/>
            <w:vAlign w:val="center"/>
            <w:hideMark/>
          </w:tcPr>
          <w:p w14:paraId="5C34133D" w14:textId="77777777" w:rsidR="00084E27" w:rsidRPr="00084E27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84E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233 182</w:t>
            </w:r>
          </w:p>
        </w:tc>
      </w:tr>
      <w:tr w:rsidR="00084E27" w:rsidRPr="00084E27" w14:paraId="475C6954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CFFA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МКА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vežimo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Tauragės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raj. sav.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7F03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420 474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8417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505 951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E0C59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85 477</w:t>
            </w:r>
          </w:p>
        </w:tc>
      </w:tr>
      <w:tr w:rsidR="00084E27" w:rsidRPr="00084E27" w14:paraId="4DBE7144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A1CB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МКА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vežimo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Jurbarko raj. sav.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CBBA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234 432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7663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304 378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894F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69 946</w:t>
            </w:r>
          </w:p>
        </w:tc>
      </w:tr>
      <w:tr w:rsidR="00084E27" w:rsidRPr="00084E27" w14:paraId="04073819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282E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МКА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vežimo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Šilalės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raj. sav.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E2475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299 317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7BBD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361 617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CD655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62 300</w:t>
            </w:r>
          </w:p>
        </w:tc>
      </w:tr>
      <w:tr w:rsidR="00084E27" w:rsidRPr="00084E27" w14:paraId="3ED4AD17" w14:textId="77777777" w:rsidTr="00084E27">
        <w:trPr>
          <w:trHeight w:val="52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D9EC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МКА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vežimo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Pagėgių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sav</w:t>
            </w:r>
            <w:proofErr w:type="gram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E71C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105 178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F5BD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120 637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521F6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15 459</w:t>
            </w:r>
          </w:p>
        </w:tc>
      </w:tr>
      <w:tr w:rsidR="00084E27" w:rsidRPr="00084E27" w14:paraId="51C4AA08" w14:textId="77777777" w:rsidTr="00084E27">
        <w:trPr>
          <w:trHeight w:val="255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00011337" w14:textId="77777777" w:rsidR="00084E27" w:rsidRPr="00330E58" w:rsidRDefault="00084E27" w:rsidP="00084E27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BA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vežimo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444ADFE0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70 476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077B6561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106 485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5E6A2"/>
            <w:noWrap/>
            <w:vAlign w:val="center"/>
            <w:hideMark/>
          </w:tcPr>
          <w:p w14:paraId="23ECE2C7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36 009</w:t>
            </w:r>
          </w:p>
        </w:tc>
      </w:tr>
      <w:tr w:rsidR="00084E27" w:rsidRPr="00084E27" w14:paraId="531024C7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E886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BА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vežimo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Tauragės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raj. sav.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1A92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37540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2E3B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65 209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64E8B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27 669</w:t>
            </w:r>
          </w:p>
        </w:tc>
      </w:tr>
      <w:tr w:rsidR="00084E27" w:rsidRPr="00084E27" w14:paraId="43CA4B1C" w14:textId="77777777" w:rsidTr="00084E27">
        <w:trPr>
          <w:trHeight w:val="31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D0EB" w14:textId="7CA6CBC3" w:rsidR="00084E27" w:rsidRPr="00330E58" w:rsidRDefault="00084E27" w:rsidP="00084E27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i/>
                <w:iCs/>
                <w:color w:val="000000"/>
                <w:sz w:val="20"/>
                <w:szCs w:val="20"/>
              </w:rPr>
              <w:t>BА surinkimo ir vežimo sąnaudos Jurbarko raj. sav.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8D0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19315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2914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18 366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2B9AF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-949</w:t>
            </w:r>
          </w:p>
        </w:tc>
      </w:tr>
      <w:tr w:rsidR="00084E27" w:rsidRPr="00084E27" w14:paraId="7D3C56C5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5786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BА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vežimo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Šilalės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raj. sav.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8E2B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7853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BCF8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14 285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A5C85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6 432</w:t>
            </w:r>
          </w:p>
        </w:tc>
      </w:tr>
      <w:tr w:rsidR="00084E27" w:rsidRPr="00084E27" w14:paraId="520F8462" w14:textId="77777777" w:rsidTr="00084E27">
        <w:trPr>
          <w:trHeight w:val="52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B888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BА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vežimo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Pagėgių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sav</w:t>
            </w:r>
            <w:proofErr w:type="gram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01B6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5767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87D3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8 625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E61EC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2 858</w:t>
            </w:r>
          </w:p>
        </w:tc>
      </w:tr>
      <w:tr w:rsidR="00084E27" w:rsidRPr="00084E27" w14:paraId="6A79FA5A" w14:textId="77777777" w:rsidTr="00084E27">
        <w:trPr>
          <w:trHeight w:val="255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385681CA" w14:textId="32E0F013" w:rsidR="00084E27" w:rsidRPr="00330E58" w:rsidRDefault="00084E27" w:rsidP="00084E27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DGA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vežimo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69BDE238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16 851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349C7542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19 922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5E6A2"/>
            <w:noWrap/>
            <w:vAlign w:val="center"/>
            <w:hideMark/>
          </w:tcPr>
          <w:p w14:paraId="714B2291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3 071</w:t>
            </w:r>
          </w:p>
        </w:tc>
      </w:tr>
      <w:tr w:rsidR="00084E27" w:rsidRPr="00084E27" w14:paraId="52DCD7F2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3B44" w14:textId="77777777" w:rsidR="00084E27" w:rsidRPr="00330E58" w:rsidRDefault="00084E27" w:rsidP="00084E2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DGА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vežimo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Tauragės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raj. sav.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811D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EE1B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1 129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860F8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-1 959</w:t>
            </w:r>
          </w:p>
        </w:tc>
      </w:tr>
      <w:tr w:rsidR="00084E27" w:rsidRPr="00084E27" w14:paraId="150D1621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2E2F" w14:textId="77777777" w:rsidR="00084E27" w:rsidRPr="00330E58" w:rsidRDefault="00084E27" w:rsidP="00084E2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DGА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vežimo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Jurbarko raj. sav.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9C805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8902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46E7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7 768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3BD2A6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-1 134</w:t>
            </w:r>
          </w:p>
        </w:tc>
      </w:tr>
      <w:tr w:rsidR="00084E27" w:rsidRPr="00084E27" w14:paraId="7F78B0CD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B214" w14:textId="77777777" w:rsidR="00084E27" w:rsidRPr="00330E58" w:rsidRDefault="00084E27" w:rsidP="00084E2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DGА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vežimo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Šilalės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raj. sav.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64AF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68FD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6 070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97C77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5 096</w:t>
            </w:r>
          </w:p>
        </w:tc>
      </w:tr>
      <w:tr w:rsidR="00084E27" w:rsidRPr="00084E27" w14:paraId="0650DEB1" w14:textId="77777777" w:rsidTr="00084E27">
        <w:trPr>
          <w:trHeight w:val="52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A4ED" w14:textId="77777777" w:rsidR="00084E27" w:rsidRPr="00330E58" w:rsidRDefault="00084E27" w:rsidP="00084E2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DGА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vežimo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Pagėgių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 sav</w:t>
            </w:r>
            <w:proofErr w:type="gram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B0D0F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E70B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4 955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C6EBB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1 068</w:t>
            </w:r>
          </w:p>
        </w:tc>
      </w:tr>
      <w:tr w:rsidR="00084E27" w:rsidRPr="00084E27" w14:paraId="4D4C5F2D" w14:textId="77777777" w:rsidTr="00084E27">
        <w:trPr>
          <w:trHeight w:val="255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677BEF36" w14:textId="77777777" w:rsidR="00084E27" w:rsidRPr="00330E58" w:rsidRDefault="00084E27" w:rsidP="00084E27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DGASA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eksploatavimo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1894CC54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1F6F6099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202 782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0ED99C43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202 782</w:t>
            </w:r>
          </w:p>
        </w:tc>
      </w:tr>
      <w:tr w:rsidR="00084E27" w:rsidRPr="00084E27" w14:paraId="5F244AC7" w14:textId="77777777" w:rsidTr="00084E27">
        <w:trPr>
          <w:trHeight w:val="540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1AF7" w14:textId="77777777" w:rsidR="00084E27" w:rsidRPr="00330E58" w:rsidRDefault="00084E27" w:rsidP="00084E27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DGASA </w:t>
            </w: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eksploatavimo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atliekų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paruošimo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pakartotiniam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naudojimui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D3327F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17E4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131 291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52EF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131 291</w:t>
            </w:r>
          </w:p>
        </w:tc>
      </w:tr>
      <w:tr w:rsidR="00084E27" w:rsidRPr="00084E27" w14:paraId="1608B5B1" w14:textId="77777777" w:rsidTr="00084E27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97BA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Darbo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užmokesčio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4AA6F79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3194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111233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AC38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111233</w:t>
            </w:r>
          </w:p>
        </w:tc>
      </w:tr>
      <w:tr w:rsidR="00084E27" w:rsidRPr="00084E27" w14:paraId="2F252835" w14:textId="77777777" w:rsidTr="00084E27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F681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Ilgalaikio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turto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nusidėvėjimo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FB39D57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CA59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4778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BDE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4778</w:t>
            </w:r>
          </w:p>
        </w:tc>
      </w:tr>
      <w:tr w:rsidR="00084E27" w:rsidRPr="00084E27" w14:paraId="6C37ABA6" w14:textId="77777777" w:rsidTr="00084E27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3D70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Aikštelių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eksploatavimo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4F35D6C4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F850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12341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1078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12341</w:t>
            </w:r>
          </w:p>
        </w:tc>
      </w:tr>
      <w:tr w:rsidR="00084E27" w:rsidRPr="00084E27" w14:paraId="0743A235" w14:textId="77777777" w:rsidTr="00084E27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FA43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Atliekų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tvarkymo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C4DB907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0F79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44D6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084E27" w:rsidRPr="00084E27" w14:paraId="726943AB" w14:textId="77777777" w:rsidTr="00084E27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8446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Kitos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389540A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B89B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2939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FC41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2939</w:t>
            </w:r>
          </w:p>
        </w:tc>
      </w:tr>
      <w:tr w:rsidR="00084E27" w:rsidRPr="00084E27" w14:paraId="2757592B" w14:textId="77777777" w:rsidTr="00084E27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F334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Tauragės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RATC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administracinės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5FE3F0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440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65 733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AD13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65 733</w:t>
            </w:r>
          </w:p>
        </w:tc>
      </w:tr>
      <w:tr w:rsidR="00084E27" w:rsidRPr="00084E27" w14:paraId="3FCA76F6" w14:textId="77777777" w:rsidTr="00084E27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80FD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Darbo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užmokesčio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D5647F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15E8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57460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40D9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57460</w:t>
            </w:r>
          </w:p>
        </w:tc>
      </w:tr>
      <w:tr w:rsidR="00084E27" w:rsidRPr="00084E27" w14:paraId="59AE6591" w14:textId="77777777" w:rsidTr="00084E27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82B3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lastRenderedPageBreak/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Ilgalaikio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turto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nusidėvėjimo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9CE3DE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A97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2BB4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25</w:t>
            </w:r>
          </w:p>
        </w:tc>
      </w:tr>
      <w:tr w:rsidR="00084E27" w:rsidRPr="00084E27" w14:paraId="5356DE70" w14:textId="77777777" w:rsidTr="00084E27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48F7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Patalpų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eksploatacijos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AAE4AE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9C7D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2082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279</w:t>
            </w:r>
          </w:p>
        </w:tc>
      </w:tr>
      <w:tr w:rsidR="00084E27" w:rsidRPr="00084E27" w14:paraId="5AC063FF" w14:textId="77777777" w:rsidTr="00084E27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45E7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Patalpų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nuomos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A6993F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AFB2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2725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1010</w:t>
            </w:r>
          </w:p>
        </w:tc>
      </w:tr>
      <w:tr w:rsidR="00084E27" w:rsidRPr="00084E27" w14:paraId="0071F1F5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1843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Lengvųjų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automobilių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eksploatavimo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B48806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252C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1598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DE67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1598</w:t>
            </w:r>
          </w:p>
        </w:tc>
      </w:tr>
      <w:tr w:rsidR="00084E27" w:rsidRPr="00084E27" w14:paraId="2100D3F5" w14:textId="77777777" w:rsidTr="00084E27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03FE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Ryšių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1205C3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CAB1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B702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73</w:t>
            </w:r>
          </w:p>
        </w:tc>
      </w:tr>
      <w:tr w:rsidR="00084E27" w:rsidRPr="00084E27" w14:paraId="37193282" w14:textId="77777777" w:rsidTr="00084E27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226A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Kanceliarinių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ūkinių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prekių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C51021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90B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78D5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305</w:t>
            </w:r>
          </w:p>
        </w:tc>
      </w:tr>
      <w:tr w:rsidR="00084E27" w:rsidRPr="00084E27" w14:paraId="60B128EB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88BB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Kompiuterinės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programinės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įrangos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aptarnavimas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bei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priežiūros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915029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3A1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619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693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619</w:t>
            </w:r>
          </w:p>
        </w:tc>
      </w:tr>
      <w:tr w:rsidR="00084E27" w:rsidRPr="00084E27" w14:paraId="189C01C4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9E75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Teisinės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audito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konsultavimo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paslaugų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7AB53D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AA9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2473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57D9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2473</w:t>
            </w:r>
          </w:p>
        </w:tc>
      </w:tr>
      <w:tr w:rsidR="00084E27" w:rsidRPr="00084E27" w14:paraId="1B28A323" w14:textId="77777777" w:rsidTr="00084E27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7F31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Draudimo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paslaugų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A83D1C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51DB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1053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33F8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1053</w:t>
            </w:r>
          </w:p>
        </w:tc>
      </w:tr>
      <w:tr w:rsidR="00084E27" w:rsidRPr="00084E27" w14:paraId="4D5F6DE5" w14:textId="77777777" w:rsidTr="00084E27">
        <w:trPr>
          <w:trHeight w:val="76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3AE1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Mokesčių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išskyrus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mokestį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už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aplinkos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teršimą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sąvartyne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šalinamoms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atliekomis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6A6FF5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AF8B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377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4CE9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377</w:t>
            </w:r>
          </w:p>
        </w:tc>
      </w:tr>
      <w:tr w:rsidR="00084E27" w:rsidRPr="00084E27" w14:paraId="394C200E" w14:textId="77777777" w:rsidTr="00084E27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CF91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Kitos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B2E4AA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1252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461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8EFC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461</w:t>
            </w:r>
          </w:p>
        </w:tc>
      </w:tr>
      <w:tr w:rsidR="00084E27" w:rsidRPr="00084E27" w14:paraId="6DFF8540" w14:textId="77777777" w:rsidTr="00084E27">
        <w:trPr>
          <w:trHeight w:val="31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9B78" w14:textId="77777777" w:rsidR="00084E27" w:rsidRPr="00330E58" w:rsidRDefault="00084E27" w:rsidP="00084E27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Normatyvinis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rezervas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, 3 proc.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371107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097F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5 758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F958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5 758</w:t>
            </w:r>
          </w:p>
        </w:tc>
      </w:tr>
      <w:tr w:rsidR="00084E27" w:rsidRPr="00084E27" w14:paraId="545742A3" w14:textId="77777777" w:rsidTr="00084E27">
        <w:trPr>
          <w:trHeight w:val="51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7EA7D1BF" w14:textId="77777777" w:rsidR="00084E27" w:rsidRPr="00330E58" w:rsidRDefault="00084E27" w:rsidP="00084E27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Tekstilės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atliekų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tvarkymo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07268301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37 389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6B7C5F27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33 917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5E6A2"/>
            <w:noWrap/>
            <w:vAlign w:val="center"/>
            <w:hideMark/>
          </w:tcPr>
          <w:p w14:paraId="1D5B584D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-3 472</w:t>
            </w:r>
          </w:p>
        </w:tc>
      </w:tr>
      <w:tr w:rsidR="00084E27" w:rsidRPr="00084E27" w14:paraId="4AD0E401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37B0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Tekstilės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atliekų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tvarkymo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Tauragės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raj. sav.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937EC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19 697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4288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17 773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C4787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-1 924</w:t>
            </w:r>
          </w:p>
        </w:tc>
      </w:tr>
      <w:tr w:rsidR="00084E27" w:rsidRPr="00084E27" w14:paraId="20BC70F5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CBA9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Tekstilės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atliekų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tvarkymo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Jurbarko raj. sav.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EF4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11 531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662A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9 336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D4993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-2 195</w:t>
            </w:r>
          </w:p>
        </w:tc>
      </w:tr>
      <w:tr w:rsidR="00084E27" w:rsidRPr="00084E27" w14:paraId="341F8406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37B3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Tekstilės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atliekų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tvarkymo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Šilalės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raj. sav.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3BFEB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4819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77CF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5 311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F0716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492</w:t>
            </w:r>
          </w:p>
        </w:tc>
      </w:tr>
      <w:tr w:rsidR="00084E27" w:rsidRPr="00084E27" w14:paraId="0B74CC26" w14:textId="77777777" w:rsidTr="00084E27">
        <w:trPr>
          <w:trHeight w:val="52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BA63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Tekstilės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atliekų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tvarkymo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Pagėgių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sav</w:t>
            </w:r>
            <w:proofErr w:type="gram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4A7F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BE82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1 498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248E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156</w:t>
            </w:r>
          </w:p>
        </w:tc>
      </w:tr>
      <w:tr w:rsidR="00084E27" w:rsidRPr="00084E27" w14:paraId="02031788" w14:textId="77777777" w:rsidTr="00084E27">
        <w:trPr>
          <w:trHeight w:val="529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1AC880AF" w14:textId="77777777" w:rsidR="00084E27" w:rsidRPr="00330E58" w:rsidRDefault="00084E27" w:rsidP="00084E27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KA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tvarkymo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(VERT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patvirtinta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18FD79DE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2 621 677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4F38E747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2 050 761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noWrap/>
            <w:vAlign w:val="center"/>
            <w:hideMark/>
          </w:tcPr>
          <w:p w14:paraId="550D8062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-570 916</w:t>
            </w:r>
          </w:p>
        </w:tc>
      </w:tr>
      <w:tr w:rsidR="00084E27" w:rsidRPr="00084E27" w14:paraId="7A72CD76" w14:textId="77777777" w:rsidTr="00084E27">
        <w:trPr>
          <w:trHeight w:val="51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4BAA6D69" w14:textId="77777777" w:rsidR="00084E27" w:rsidRPr="00330E58" w:rsidRDefault="00084E27" w:rsidP="00084E27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KA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nepriskiriamų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buityje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susidarančių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atliekų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tvarkymo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34270B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3FCAAFEE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116 987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5DCC1C9E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116 987</w:t>
            </w:r>
          </w:p>
        </w:tc>
      </w:tr>
      <w:tr w:rsidR="00084E27" w:rsidRPr="00084E27" w14:paraId="417229CF" w14:textId="77777777" w:rsidTr="00084E27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0F92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Priskirtos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atliekų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tvarkymo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regioniniame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sąvartyne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FF1680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0AC2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27 558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A1A7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27 558</w:t>
            </w:r>
          </w:p>
        </w:tc>
      </w:tr>
      <w:tr w:rsidR="00084E27" w:rsidRPr="00084E27" w14:paraId="5DA3A8E9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AF22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Atliekų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tvarkymo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DGASA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būtinosios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DD8963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733B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28 648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7739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28 648</w:t>
            </w:r>
          </w:p>
        </w:tc>
      </w:tr>
      <w:tr w:rsidR="00084E27" w:rsidRPr="00084E27" w14:paraId="0E1824EC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DF5D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Tauragės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RATC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administracinės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ECE221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E2AF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36 974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0D1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36 974</w:t>
            </w:r>
          </w:p>
        </w:tc>
      </w:tr>
      <w:tr w:rsidR="00084E27" w:rsidRPr="00084E27" w14:paraId="0F04EC66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304D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Darbo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užmokesčio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42C726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DA18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32 317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83AA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32 317</w:t>
            </w:r>
          </w:p>
        </w:tc>
      </w:tr>
      <w:tr w:rsidR="00084E27" w:rsidRPr="00084E27" w14:paraId="77C5C667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BE26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Ilgalaikio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turto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nusidėvėjimo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A4A162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DD74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9576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084E27" w:rsidRPr="00084E27" w14:paraId="05D65F72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450A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Patalpų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eksploatacijos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BA98ED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A586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CF09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158</w:t>
            </w:r>
          </w:p>
        </w:tc>
      </w:tr>
      <w:tr w:rsidR="00084E27" w:rsidRPr="00084E27" w14:paraId="0F4FCA42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3D5B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Patalpų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nuomos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F69498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381A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562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0FB7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562</w:t>
            </w:r>
          </w:p>
        </w:tc>
      </w:tr>
      <w:tr w:rsidR="00084E27" w:rsidRPr="00084E27" w14:paraId="4BBB2704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F33D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Lengvųjų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automobilių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eksploatavimo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96138B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B807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902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D11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902</w:t>
            </w:r>
          </w:p>
        </w:tc>
      </w:tr>
      <w:tr w:rsidR="00084E27" w:rsidRPr="00084E27" w14:paraId="70A12955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AA5B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Ryšių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984019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CD29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5BB5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43</w:t>
            </w:r>
          </w:p>
        </w:tc>
      </w:tr>
      <w:tr w:rsidR="00084E27" w:rsidRPr="00084E27" w14:paraId="5C3379EE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A85F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Kanceliarinių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ūkinių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prekių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374683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EF20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68C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173</w:t>
            </w:r>
          </w:p>
        </w:tc>
      </w:tr>
      <w:tr w:rsidR="00084E27" w:rsidRPr="00084E27" w14:paraId="7A2B9B95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8A29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Kompiuterinės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programinės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įrangos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aptarnavimas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bei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priežiūros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96138B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B4BA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347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3FB9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347</w:t>
            </w:r>
          </w:p>
        </w:tc>
      </w:tr>
      <w:tr w:rsidR="00084E27" w:rsidRPr="00084E27" w14:paraId="4C279848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9B3C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Teisinės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audito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konsultavimo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paslaugų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DC5397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BF5D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1 389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4833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1 389</w:t>
            </w:r>
          </w:p>
        </w:tc>
      </w:tr>
      <w:tr w:rsidR="00084E27" w:rsidRPr="00330E58" w14:paraId="4308DF9E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CE23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lastRenderedPageBreak/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Draudimo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paslaugų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35CF3B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0550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595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CA12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595</w:t>
            </w:r>
          </w:p>
        </w:tc>
      </w:tr>
      <w:tr w:rsidR="00084E27" w:rsidRPr="00330E58" w14:paraId="6BEF441B" w14:textId="77777777" w:rsidTr="00084E27">
        <w:trPr>
          <w:trHeight w:val="76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8A63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Mokesčių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išskyrus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mokestį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už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aplinkos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teršimą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sąvartyne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šalinamoms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atliekomis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04D792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F38D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3745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214</w:t>
            </w:r>
          </w:p>
        </w:tc>
      </w:tr>
      <w:tr w:rsidR="00084E27" w:rsidRPr="00330E58" w14:paraId="174A6483" w14:textId="77777777" w:rsidTr="00084E27">
        <w:trPr>
          <w:trHeight w:val="289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AB54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Kitos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FDA889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3C46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258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4595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258</w:t>
            </w:r>
          </w:p>
        </w:tc>
      </w:tr>
      <w:tr w:rsidR="00084E27" w:rsidRPr="00330E58" w14:paraId="680750B9" w14:textId="77777777" w:rsidTr="00084E27">
        <w:trPr>
          <w:trHeight w:val="289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A0FA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Kitos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nereguliuojamos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veiklos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7250D1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2C08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20 402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FB09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20 402</w:t>
            </w:r>
          </w:p>
        </w:tc>
      </w:tr>
      <w:tr w:rsidR="00084E27" w:rsidRPr="00330E58" w14:paraId="34E02086" w14:textId="77777777" w:rsidTr="00084E27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BBD8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Normatyvinis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rezervas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, proc.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234A39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572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3406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5DD1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3406</w:t>
            </w:r>
          </w:p>
        </w:tc>
      </w:tr>
      <w:tr w:rsidR="00084E27" w:rsidRPr="00330E58" w14:paraId="1992F731" w14:textId="77777777" w:rsidTr="00084E27">
        <w:trPr>
          <w:trHeight w:val="51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154C896D" w14:textId="77777777" w:rsidR="00084E27" w:rsidRPr="00330E58" w:rsidRDefault="00084E27" w:rsidP="00084E27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Vietinės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rinkliavos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administravimo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kitur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nepriskirtos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bendrosios</w:t>
            </w:r>
            <w:proofErr w:type="spellEnd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3440DEC9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225 891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37AF83BC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371 934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5E6A2"/>
            <w:noWrap/>
            <w:vAlign w:val="center"/>
            <w:hideMark/>
          </w:tcPr>
          <w:p w14:paraId="635D9E68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146 043</w:t>
            </w:r>
          </w:p>
        </w:tc>
      </w:tr>
      <w:tr w:rsidR="00084E27" w:rsidRPr="00330E58" w14:paraId="2333934B" w14:textId="77777777" w:rsidTr="00084E27">
        <w:trPr>
          <w:trHeight w:val="27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CC7F" w14:textId="77777777" w:rsidR="00084E27" w:rsidRPr="00330E58" w:rsidRDefault="00084E27" w:rsidP="00084E27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Vietinės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rinkliavos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administravimo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F8BB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225 891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FA8B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257 289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093D2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31 398</w:t>
            </w:r>
          </w:p>
        </w:tc>
      </w:tr>
      <w:tr w:rsidR="00084E27" w:rsidRPr="00330E58" w14:paraId="53E698CD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59F9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Darbo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užmokesčio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61FF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115 260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6ADA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126 786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1E04B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11 526</w:t>
            </w:r>
          </w:p>
        </w:tc>
      </w:tr>
      <w:tr w:rsidR="00084E27" w:rsidRPr="00330E58" w14:paraId="13E7B804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DE77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Ilgalaikio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turto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nusidėvėjimo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6DF1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1 558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BA47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1 558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FF5DA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084E27" w:rsidRPr="00330E58" w14:paraId="50331795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B39C2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Studijos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konsultavimo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paslaugos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AC2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20 478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3F58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21 502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7FC9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1 024</w:t>
            </w:r>
          </w:p>
        </w:tc>
      </w:tr>
      <w:tr w:rsidR="00084E27" w:rsidRPr="00330E58" w14:paraId="1666B90E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9555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Vietinės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rinkliavos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surinkimo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AE6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14 042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6F8D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14 744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559E6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702</w:t>
            </w:r>
          </w:p>
        </w:tc>
      </w:tr>
      <w:tr w:rsidR="00084E27" w:rsidRPr="00330E58" w14:paraId="024013FF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0228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Komunalinių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paslaugų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elektra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ryšiai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internetas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C1F4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4 993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6637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5 243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04C7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250</w:t>
            </w:r>
          </w:p>
        </w:tc>
      </w:tr>
      <w:tr w:rsidR="00084E27" w:rsidRPr="00330E58" w14:paraId="71295212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DEF9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Mokesčių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pranešimų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siuntimo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DF49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62 352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C26A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68 587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666F9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6 235</w:t>
            </w:r>
          </w:p>
        </w:tc>
      </w:tr>
      <w:tr w:rsidR="00084E27" w:rsidRPr="00330E58" w14:paraId="45876B96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60CB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Kuro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2715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3A94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2 420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01376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2 420</w:t>
            </w:r>
          </w:p>
        </w:tc>
      </w:tr>
      <w:tr w:rsidR="00084E27" w:rsidRPr="00330E58" w14:paraId="6261BF7F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2B89" w14:textId="77777777" w:rsidR="00084E27" w:rsidRPr="00330E58" w:rsidRDefault="00084E27" w:rsidP="00084E27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Kitos</w:t>
            </w:r>
            <w:proofErr w:type="spellEnd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2301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7208 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9722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16 449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FCEEA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9241</w:t>
            </w:r>
          </w:p>
        </w:tc>
      </w:tr>
      <w:tr w:rsidR="00084E27" w:rsidRPr="00330E58" w14:paraId="50C82595" w14:textId="77777777" w:rsidTr="00084E27">
        <w:trPr>
          <w:trHeight w:val="58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58D5" w14:textId="77777777" w:rsidR="00084E27" w:rsidRPr="00330E58" w:rsidRDefault="00084E27" w:rsidP="00084E27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Tauragės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RATC </w:t>
            </w: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bendrų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administracinių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sąnaudų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priskirta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dalis</w:t>
            </w:r>
            <w:proofErr w:type="spellEnd"/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E8BA39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E431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114 646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EA38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114 646</w:t>
            </w:r>
          </w:p>
        </w:tc>
      </w:tr>
      <w:tr w:rsidR="00084E27" w:rsidRPr="00330E58" w14:paraId="5F07FC99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AAA9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   Darbo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užmokesčio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DDCD96" w14:textId="77777777" w:rsidR="00084E27" w:rsidRPr="00330E58" w:rsidRDefault="00084E27" w:rsidP="00084E2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FC89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100212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F626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100212</w:t>
            </w:r>
          </w:p>
        </w:tc>
      </w:tr>
      <w:tr w:rsidR="00084E27" w:rsidRPr="00330E58" w14:paraId="677A8E16" w14:textId="77777777" w:rsidTr="00084E27">
        <w:trPr>
          <w:trHeight w:val="289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6FE5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Ilgalaikio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turto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nusidėvėjimo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3B76C3" w14:textId="77777777" w:rsidR="00084E27" w:rsidRPr="00330E58" w:rsidRDefault="00084E27" w:rsidP="00084E2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F71F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49C2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48</w:t>
            </w:r>
          </w:p>
        </w:tc>
      </w:tr>
      <w:tr w:rsidR="00084E27" w:rsidRPr="00330E58" w14:paraId="4B018C6F" w14:textId="77777777" w:rsidTr="00084E27">
        <w:trPr>
          <w:trHeight w:val="289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D082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Patalpų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eksploatacijos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B1085C" w14:textId="77777777" w:rsidR="00084E27" w:rsidRPr="00330E58" w:rsidRDefault="00084E27" w:rsidP="00084E2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71F0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484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C6B9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484</w:t>
            </w:r>
          </w:p>
        </w:tc>
      </w:tr>
      <w:tr w:rsidR="00084E27" w:rsidRPr="00330E58" w14:paraId="2764F6E5" w14:textId="77777777" w:rsidTr="00084E27">
        <w:trPr>
          <w:trHeight w:val="289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6760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Patalpų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nuomos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0B9AAD" w14:textId="77777777" w:rsidR="00084E27" w:rsidRPr="00330E58" w:rsidRDefault="00084E27" w:rsidP="00084E2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BFA7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1742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5D95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1742</w:t>
            </w:r>
          </w:p>
        </w:tc>
      </w:tr>
      <w:tr w:rsidR="00084E27" w:rsidRPr="00330E58" w14:paraId="075F5591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79E5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Lengvųjų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automobilių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eksploatavimo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3123B3" w14:textId="77777777" w:rsidR="00084E27" w:rsidRPr="00330E58" w:rsidRDefault="00084E27" w:rsidP="00084E2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7E3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2795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DFDE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2795</w:t>
            </w:r>
          </w:p>
        </w:tc>
      </w:tr>
      <w:tr w:rsidR="00084E27" w:rsidRPr="00330E58" w14:paraId="0469E83A" w14:textId="77777777" w:rsidTr="00084E27">
        <w:trPr>
          <w:trHeight w:val="289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5059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Ryšių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B15AC6" w14:textId="77777777" w:rsidR="00084E27" w:rsidRPr="00330E58" w:rsidRDefault="00084E27" w:rsidP="00084E2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1BE6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025A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133</w:t>
            </w:r>
          </w:p>
        </w:tc>
      </w:tr>
      <w:tr w:rsidR="00084E27" w:rsidRPr="00330E58" w14:paraId="252DAE10" w14:textId="77777777" w:rsidTr="00084E27">
        <w:trPr>
          <w:trHeight w:val="289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AF04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Kanceliarinių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ūkinių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prekių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sąnaudos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8D2443" w14:textId="77777777" w:rsidR="00084E27" w:rsidRPr="00330E58" w:rsidRDefault="00084E27" w:rsidP="00084E2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0943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30E6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532</w:t>
            </w:r>
          </w:p>
        </w:tc>
      </w:tr>
      <w:tr w:rsidR="00084E27" w:rsidRPr="00330E58" w14:paraId="035A7D64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72BA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Kompiuterinės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programinės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įrangos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aptarnavimas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bei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priežiūros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ED3E62" w14:textId="77777777" w:rsidR="00084E27" w:rsidRPr="00330E58" w:rsidRDefault="00084E27" w:rsidP="00084E2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1643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1076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C81B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1076</w:t>
            </w:r>
          </w:p>
        </w:tc>
      </w:tr>
      <w:tr w:rsidR="00084E27" w:rsidRPr="00330E58" w14:paraId="065C48FE" w14:textId="77777777" w:rsidTr="00084E27">
        <w:trPr>
          <w:trHeight w:val="51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270A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Teisinės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audito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ir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konsultavimo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paslaugų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AB8FF0" w14:textId="77777777" w:rsidR="00084E27" w:rsidRPr="00330E58" w:rsidRDefault="00084E27" w:rsidP="00084E2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B3D7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4307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2E26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4307</w:t>
            </w:r>
          </w:p>
        </w:tc>
      </w:tr>
      <w:tr w:rsidR="00084E27" w:rsidRPr="00330E58" w14:paraId="3B458397" w14:textId="77777777" w:rsidTr="00084E27">
        <w:trPr>
          <w:trHeight w:val="289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DBF1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Draudimo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paslaugų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CA71B5" w14:textId="77777777" w:rsidR="00084E27" w:rsidRPr="00330E58" w:rsidRDefault="00084E27" w:rsidP="00084E2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1FB2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1851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BB90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1851</w:t>
            </w:r>
          </w:p>
        </w:tc>
      </w:tr>
      <w:tr w:rsidR="00084E27" w:rsidRPr="00330E58" w14:paraId="55F6BCE5" w14:textId="77777777" w:rsidTr="00084E27">
        <w:trPr>
          <w:trHeight w:val="765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107E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Mokesčių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išskyrus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mokestį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už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aplinkos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teršimą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sąvartyne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šalinamoms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atliekomis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43AD67" w14:textId="77777777" w:rsidR="00084E27" w:rsidRPr="00330E58" w:rsidRDefault="00084E27" w:rsidP="00084E2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3D87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666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6094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666</w:t>
            </w:r>
          </w:p>
        </w:tc>
      </w:tr>
      <w:tr w:rsidR="00084E27" w:rsidRPr="00330E58" w14:paraId="45F5A4B8" w14:textId="77777777" w:rsidTr="00084E27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980B1" w14:textId="77777777" w:rsidR="00084E27" w:rsidRPr="00330E58" w:rsidRDefault="00084E27" w:rsidP="00084E27">
            <w:pPr>
              <w:ind w:firstLineChars="100" w:firstLine="200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Kitos</w:t>
            </w:r>
            <w:proofErr w:type="spellEnd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sąnaudos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8B0EE5" w14:textId="77777777" w:rsidR="00084E27" w:rsidRPr="00330E58" w:rsidRDefault="00084E27" w:rsidP="00084E2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4620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799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18C9" w14:textId="77777777" w:rsidR="00084E27" w:rsidRPr="00330E58" w:rsidRDefault="00084E27" w:rsidP="00084E27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799</w:t>
            </w:r>
          </w:p>
        </w:tc>
      </w:tr>
      <w:tr w:rsidR="00084E27" w:rsidRPr="00330E58" w14:paraId="3ECA53B9" w14:textId="77777777" w:rsidTr="00084E27">
        <w:trPr>
          <w:trHeight w:val="255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0E8B" w14:textId="4A4C6497" w:rsidR="00084E27" w:rsidRPr="00330E58" w:rsidRDefault="00084E27" w:rsidP="00084E27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Viso: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D353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4 025 196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CF20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4 195 370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CCC67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170 174</w:t>
            </w:r>
          </w:p>
        </w:tc>
      </w:tr>
      <w:tr w:rsidR="00084E27" w:rsidRPr="00330E58" w14:paraId="76C16CE3" w14:textId="77777777" w:rsidTr="00084E27">
        <w:trPr>
          <w:trHeight w:val="27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C4E8" w14:textId="77777777" w:rsidR="00084E27" w:rsidRPr="00330E58" w:rsidRDefault="00084E27" w:rsidP="00084E2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Pastovi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dalis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FD48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1 610 078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7684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1 678 148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C8B1B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68 070</w:t>
            </w:r>
          </w:p>
        </w:tc>
      </w:tr>
      <w:tr w:rsidR="00084E27" w:rsidRPr="00330E58" w14:paraId="6D5B3448" w14:textId="77777777" w:rsidTr="00084E27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37BF" w14:textId="77777777" w:rsidR="00084E27" w:rsidRPr="00330E58" w:rsidRDefault="00084E27" w:rsidP="00084E2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Kintama</w:t>
            </w:r>
            <w:proofErr w:type="spellEnd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dalis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A130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2 415 118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5938" w14:textId="77777777" w:rsidR="00084E27" w:rsidRPr="00330E58" w:rsidRDefault="00084E27" w:rsidP="00084E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2 517 222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AEAF" w14:textId="77777777" w:rsidR="00084E27" w:rsidRPr="00330E58" w:rsidRDefault="00084E27" w:rsidP="00084E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E5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102 104</w:t>
            </w:r>
          </w:p>
        </w:tc>
      </w:tr>
    </w:tbl>
    <w:p w14:paraId="45DCEFB0" w14:textId="77777777" w:rsidR="00084E27" w:rsidRPr="00330E58" w:rsidRDefault="00084E27" w:rsidP="00084E27">
      <w:pPr>
        <w:rPr>
          <w:rFonts w:eastAsia="Times New Roman"/>
          <w:lang w:eastAsia="lt-LT"/>
        </w:rPr>
      </w:pPr>
    </w:p>
    <w:p w14:paraId="73AB36AF" w14:textId="573DC68B" w:rsidR="00084E27" w:rsidRPr="00857285" w:rsidRDefault="00084E27" w:rsidP="00084E27">
      <w:pPr>
        <w:rPr>
          <w:sz w:val="20"/>
          <w:szCs w:val="20"/>
        </w:rPr>
      </w:pPr>
      <w:r w:rsidRPr="00330E58">
        <w:rPr>
          <w:sz w:val="20"/>
          <w:szCs w:val="20"/>
        </w:rPr>
        <w:t>* - Tauragės RATC bendros administracinės sąnaudos nereguliuojamoms veikloms priskiriamos, pagal skaičiuojant komunalinių atliekų tvarkymo regionines kainas VERT nustatytas bendrų sąnaudų priskyrimo verslo vienetams dalis.</w:t>
      </w:r>
    </w:p>
    <w:p w14:paraId="0A5DC160" w14:textId="77777777" w:rsidR="00084E27" w:rsidRPr="00825175" w:rsidRDefault="00084E27" w:rsidP="00084E27">
      <w:pPr>
        <w:rPr>
          <w:sz w:val="20"/>
          <w:szCs w:val="20"/>
        </w:rPr>
      </w:pPr>
    </w:p>
    <w:p w14:paraId="49D045A2" w14:textId="77777777" w:rsidR="00084E27" w:rsidRDefault="00084E27" w:rsidP="00084E27">
      <w:pPr>
        <w:rPr>
          <w:bCs/>
        </w:rPr>
      </w:pPr>
      <w:r>
        <w:rPr>
          <w:bCs/>
        </w:rPr>
        <w:t xml:space="preserve">2025 m. prognozuojamos su Tauragės regiono komunalinių atliekų ir komunalinėms atliekoms nepriskiriamų buityje susidarančių atliekų tvarkymu susijusios sąnaudos yra </w:t>
      </w:r>
      <w:r w:rsidRPr="00330E58">
        <w:rPr>
          <w:bCs/>
        </w:rPr>
        <w:t>170 tūkst. Eur arba 4,2</w:t>
      </w:r>
      <w:r>
        <w:rPr>
          <w:bCs/>
        </w:rPr>
        <w:t xml:space="preserve"> </w:t>
      </w:r>
      <w:r>
        <w:rPr>
          <w:bCs/>
        </w:rPr>
        <w:lastRenderedPageBreak/>
        <w:t xml:space="preserve">proc. didesnės nei 2024 m. sąnaudos. Labiausia išauga mišrių komunalinių atliekų surinkimo sąnaudos – 233 tūkst. Eur arba 22 proc. Komunalinių atliekų tvarkymo sąnaudos sumažėjo, tačiau jos mažėja todėl, kad 2024 m. į komunalinių atliekų tvarkymo sąnaudas taip pat buvo įtrauktos DGASA eksploatavimo sąnaudos, komunalinėms atliekoms nepriskiriamų buityje susidarančių atliekų tvarkymo sąnaudos, dalis Tauragės RATC bendrų administracinių sąnaudų, kurios 2025 m. įtrauktos į rinkliavos administravimo sąnaudas. </w:t>
      </w:r>
    </w:p>
    <w:p w14:paraId="560C35D0" w14:textId="77777777" w:rsidR="00084E27" w:rsidRPr="009C3BD7" w:rsidRDefault="00084E27" w:rsidP="00084E27">
      <w:pPr>
        <w:rPr>
          <w:bCs/>
          <w:sz w:val="20"/>
          <w:szCs w:val="20"/>
        </w:rPr>
      </w:pPr>
    </w:p>
    <w:p w14:paraId="2D793DDC" w14:textId="77777777" w:rsidR="00084E27" w:rsidRDefault="00084E27" w:rsidP="00084E27">
      <w:pPr>
        <w:rPr>
          <w:bCs/>
        </w:rPr>
      </w:pPr>
      <w:r>
        <w:rPr>
          <w:bCs/>
        </w:rPr>
        <w:t xml:space="preserve">Įvertinus Tauragės regione planuojamus surinkti mišrių komunalinių atliekų kiekius (2024 m. planuota surinkti 19 180 t, o </w:t>
      </w:r>
      <w:r w:rsidRPr="00330E58">
        <w:rPr>
          <w:bCs/>
        </w:rPr>
        <w:t>2025 m. 18 881 t mišrių komunalinių atliekų) 2025 m. komunalinių atliekų tvarkymo kaina sudaro 222,18 Eur/t su PVM ir yra 4,4 proc. didesnė nei 2024 m. komunalinių atliekų tvarkymo kaina.</w:t>
      </w:r>
      <w:r>
        <w:rPr>
          <w:bCs/>
        </w:rPr>
        <w:t xml:space="preserve"> </w:t>
      </w:r>
    </w:p>
    <w:p w14:paraId="1F46FDD6" w14:textId="77777777" w:rsidR="00084E27" w:rsidRPr="00ED01BD" w:rsidRDefault="00084E27" w:rsidP="00084E27">
      <w:pPr>
        <w:rPr>
          <w:bCs/>
          <w:sz w:val="20"/>
          <w:szCs w:val="20"/>
        </w:rPr>
      </w:pPr>
    </w:p>
    <w:p w14:paraId="0184B737" w14:textId="77777777" w:rsidR="00084E27" w:rsidRPr="00DE7454" w:rsidRDefault="00084E27" w:rsidP="00084E27">
      <w:pPr>
        <w:rPr>
          <w:bCs/>
        </w:rPr>
      </w:pPr>
      <w:r>
        <w:rPr>
          <w:bCs/>
        </w:rPr>
        <w:t xml:space="preserve">Pagal 2024 m. prognozuotas komunalinių atliekų tvarkymo sąnaudas ir tvarkymo kainą paskaičiuoti dabar galiojantys Tauragės raj. savivaldybės, Šilalės raj. savivaldybės ir Pagėgių savivaldybės vietinės rinkliavos dydžiai. </w:t>
      </w:r>
    </w:p>
    <w:p w14:paraId="5F4E536D" w14:textId="77777777" w:rsidR="00F3601E" w:rsidRDefault="00F3601E" w:rsidP="00084E27"/>
    <w:p w14:paraId="18883B2A" w14:textId="77777777" w:rsidR="00084E27" w:rsidRDefault="00084E27" w:rsidP="00084E27"/>
    <w:p w14:paraId="1DD59C25" w14:textId="77777777" w:rsidR="00084E27" w:rsidRDefault="00084E27" w:rsidP="00084E27"/>
    <w:p w14:paraId="2C8BB82A" w14:textId="77777777" w:rsidR="00084E27" w:rsidRDefault="00084E27" w:rsidP="00084E27"/>
    <w:p w14:paraId="2D0F27CC" w14:textId="77777777" w:rsidR="00084E27" w:rsidRDefault="00084E27" w:rsidP="00084E27"/>
    <w:p w14:paraId="111D2CE8" w14:textId="77777777" w:rsidR="00084E27" w:rsidRDefault="00084E27" w:rsidP="00084E27"/>
    <w:p w14:paraId="56419675" w14:textId="77777777" w:rsidR="00084E27" w:rsidRDefault="00084E27" w:rsidP="00084E27"/>
    <w:p w14:paraId="05C72ED6" w14:textId="77777777" w:rsidR="00084E27" w:rsidRDefault="00084E27" w:rsidP="00084E27"/>
    <w:p w14:paraId="079F68A4" w14:textId="77777777" w:rsidR="00084E27" w:rsidRDefault="00084E27" w:rsidP="00084E27"/>
    <w:p w14:paraId="440E9E04" w14:textId="77777777" w:rsidR="00084E27" w:rsidRDefault="00084E27" w:rsidP="00084E27"/>
    <w:p w14:paraId="0B57D679" w14:textId="77777777" w:rsidR="00084E27" w:rsidRDefault="00084E27" w:rsidP="00084E27"/>
    <w:p w14:paraId="72DB66E4" w14:textId="77777777" w:rsidR="00084E27" w:rsidRDefault="00084E27" w:rsidP="00084E27"/>
    <w:p w14:paraId="3D660230" w14:textId="77777777" w:rsidR="00084E27" w:rsidRDefault="00084E27" w:rsidP="00084E27"/>
    <w:p w14:paraId="6F115543" w14:textId="77777777" w:rsidR="00084E27" w:rsidRDefault="00084E27" w:rsidP="00084E27"/>
    <w:p w14:paraId="47A1391B" w14:textId="77777777" w:rsidR="00084E27" w:rsidRDefault="00084E27" w:rsidP="00084E27"/>
    <w:p w14:paraId="3CB85213" w14:textId="77777777" w:rsidR="00084E27" w:rsidRDefault="00084E27" w:rsidP="00084E27"/>
    <w:p w14:paraId="31CDCABE" w14:textId="77777777" w:rsidR="00084E27" w:rsidRDefault="00084E27" w:rsidP="00084E27"/>
    <w:p w14:paraId="57FE8BE2" w14:textId="77777777" w:rsidR="00084E27" w:rsidRDefault="00084E27" w:rsidP="00084E27"/>
    <w:p w14:paraId="22017668" w14:textId="77777777" w:rsidR="00084E27" w:rsidRDefault="00084E27" w:rsidP="00084E27"/>
    <w:p w14:paraId="7C0057E8" w14:textId="77777777" w:rsidR="00084E27" w:rsidRDefault="00084E27" w:rsidP="00084E27"/>
    <w:p w14:paraId="18EE3FC3" w14:textId="77777777" w:rsidR="00084E27" w:rsidRDefault="00084E27" w:rsidP="00084E27"/>
    <w:p w14:paraId="2F0D18A3" w14:textId="77777777" w:rsidR="00084E27" w:rsidRDefault="00084E27" w:rsidP="00084E27"/>
    <w:p w14:paraId="01A28A9A" w14:textId="77777777" w:rsidR="00084E27" w:rsidRDefault="00084E27" w:rsidP="00084E27"/>
    <w:p w14:paraId="04D349A9" w14:textId="77777777" w:rsidR="00084E27" w:rsidRDefault="00084E27" w:rsidP="00084E27"/>
    <w:p w14:paraId="5CFBE10A" w14:textId="77777777" w:rsidR="00084E27" w:rsidRDefault="00084E27" w:rsidP="00084E27"/>
    <w:p w14:paraId="6B5CB8B9" w14:textId="77777777" w:rsidR="00084E27" w:rsidRDefault="00084E27" w:rsidP="00084E27"/>
    <w:p w14:paraId="0A6A0D42" w14:textId="77777777" w:rsidR="00084E27" w:rsidRDefault="00084E27" w:rsidP="00084E27"/>
    <w:p w14:paraId="7B0A07BF" w14:textId="77777777" w:rsidR="00084E27" w:rsidRDefault="00084E27" w:rsidP="00084E27"/>
    <w:p w14:paraId="600C6A04" w14:textId="77777777" w:rsidR="00084E27" w:rsidRDefault="00084E27" w:rsidP="00084E27"/>
    <w:p w14:paraId="187E2AE1" w14:textId="77777777" w:rsidR="00084E27" w:rsidRDefault="00084E27" w:rsidP="00084E27"/>
    <w:p w14:paraId="13BCD5FA" w14:textId="77777777" w:rsidR="00084E27" w:rsidRDefault="00084E27" w:rsidP="00084E27"/>
    <w:p w14:paraId="425F50CA" w14:textId="77777777" w:rsidR="00084E27" w:rsidRDefault="00084E27" w:rsidP="00084E27"/>
    <w:p w14:paraId="081F0B9A" w14:textId="77777777" w:rsidR="00084E27" w:rsidRPr="002C3C44" w:rsidRDefault="00084E27" w:rsidP="00084E27">
      <w:pPr>
        <w:jc w:val="center"/>
        <w:rPr>
          <w:b/>
        </w:rPr>
      </w:pPr>
      <w:r>
        <w:rPr>
          <w:b/>
        </w:rPr>
        <w:lastRenderedPageBreak/>
        <w:t>Jurbarko raj. savivaldybės 2025 m. vietinės rinkliavos dydžiai</w:t>
      </w:r>
    </w:p>
    <w:p w14:paraId="2A0CC66C" w14:textId="77777777" w:rsidR="00084E27" w:rsidRPr="00041840" w:rsidRDefault="00084E27" w:rsidP="00084E27">
      <w:pPr>
        <w:rPr>
          <w:sz w:val="20"/>
          <w:szCs w:val="20"/>
        </w:rPr>
      </w:pPr>
    </w:p>
    <w:p w14:paraId="4724EEE8" w14:textId="77777777" w:rsidR="00084E27" w:rsidRPr="00041840" w:rsidRDefault="00084E27" w:rsidP="00084E27">
      <w:pPr>
        <w:rPr>
          <w:sz w:val="20"/>
          <w:szCs w:val="20"/>
        </w:rPr>
      </w:pPr>
    </w:p>
    <w:p w14:paraId="6EEE13AB" w14:textId="77777777" w:rsidR="00084E27" w:rsidRDefault="00084E27" w:rsidP="00084E27">
      <w:r>
        <w:t>Su Jurbarko raj. savivaldybės komunalinių atliekų ir komunalinėms atliekoms nepriskiriamų buityje susidarančių atliekų tvarkymu susijusios s</w:t>
      </w:r>
      <w:r w:rsidRPr="00D04436">
        <w:t>ąnaudos paskaičiuojamos</w:t>
      </w:r>
      <w:r>
        <w:t>:</w:t>
      </w:r>
    </w:p>
    <w:p w14:paraId="3E757BB6" w14:textId="77777777" w:rsidR="00084E27" w:rsidRPr="00624FBD" w:rsidRDefault="00084E27" w:rsidP="00084E27">
      <w:pPr>
        <w:pStyle w:val="Sraopastraipa"/>
        <w:numPr>
          <w:ilvl w:val="0"/>
          <w:numId w:val="1"/>
        </w:numPr>
        <w:rPr>
          <w:b/>
          <w:bCs/>
        </w:rPr>
      </w:pPr>
      <w:r>
        <w:t>Įvertinus a</w:t>
      </w:r>
      <w:r w:rsidRPr="00D04436">
        <w:t>tliekų tvarkymo reguliuojamas ir nereguliuojamas kainas,</w:t>
      </w:r>
      <w:r>
        <w:t xml:space="preserve"> atliekų surinkimo ir vietinės rinkliavos administravimo sąnaudų pokyčius. </w:t>
      </w:r>
    </w:p>
    <w:p w14:paraId="3C17C0DF" w14:textId="77777777" w:rsidR="00084E27" w:rsidRDefault="00084E27" w:rsidP="00084E27">
      <w:pPr>
        <w:pStyle w:val="Sraopastraipa"/>
        <w:numPr>
          <w:ilvl w:val="0"/>
          <w:numId w:val="1"/>
        </w:numPr>
      </w:pPr>
      <w:r w:rsidRPr="00BE71C3">
        <w:t>A</w:t>
      </w:r>
      <w:r>
        <w:t xml:space="preserve">tnaujinus vietinės rinkliavos mokėtojų bazę (NT objektų plotai, NT objektų skaičius). </w:t>
      </w:r>
    </w:p>
    <w:p w14:paraId="764EF6FC" w14:textId="77777777" w:rsidR="00084E27" w:rsidRDefault="00084E27" w:rsidP="00084E27">
      <w:pPr>
        <w:pStyle w:val="Sraopastraipa"/>
        <w:numPr>
          <w:ilvl w:val="0"/>
          <w:numId w:val="1"/>
        </w:numPr>
      </w:pPr>
      <w:r>
        <w:t xml:space="preserve">Mišrių komunalinių atliekų susidarymo normas sumažinus </w:t>
      </w:r>
      <w:proofErr w:type="spellStart"/>
      <w:r>
        <w:t>vid</w:t>
      </w:r>
      <w:proofErr w:type="spellEnd"/>
      <w:r>
        <w:t>. 26 proc.</w:t>
      </w:r>
    </w:p>
    <w:p w14:paraId="4E6628CB" w14:textId="77777777" w:rsidR="00084E27" w:rsidRPr="006E509F" w:rsidRDefault="00084E27" w:rsidP="00084E27">
      <w:pPr>
        <w:rPr>
          <w:sz w:val="20"/>
          <w:szCs w:val="20"/>
        </w:rPr>
      </w:pPr>
    </w:p>
    <w:p w14:paraId="4037C857" w14:textId="77777777" w:rsidR="00084E27" w:rsidRPr="001B5E55" w:rsidRDefault="00084E27" w:rsidP="00084E27">
      <w:pPr>
        <w:rPr>
          <w:rFonts w:eastAsia="Times New Roman"/>
          <w:lang w:eastAsia="lt-LT"/>
        </w:rPr>
      </w:pPr>
      <w:r w:rsidRPr="001B5E55">
        <w:rPr>
          <w:rFonts w:eastAsia="Times New Roman"/>
          <w:lang w:eastAsia="lt-LT"/>
        </w:rPr>
        <w:t xml:space="preserve">2025 m. planuojamos </w:t>
      </w:r>
      <w:r>
        <w:rPr>
          <w:rFonts w:eastAsia="Times New Roman"/>
          <w:lang w:eastAsia="lt-LT"/>
        </w:rPr>
        <w:t xml:space="preserve">Jurbarko raj. savivaldybės </w:t>
      </w:r>
      <w:r w:rsidRPr="001B5E55">
        <w:rPr>
          <w:rFonts w:eastAsia="Times New Roman"/>
          <w:lang w:eastAsia="lt-LT"/>
        </w:rPr>
        <w:t>su atliekų tvarkymu susijusios sąnaudos, Eur su PVM</w:t>
      </w:r>
    </w:p>
    <w:tbl>
      <w:tblPr>
        <w:tblW w:w="9055" w:type="dxa"/>
        <w:tblLook w:val="04A0" w:firstRow="1" w:lastRow="0" w:firstColumn="1" w:lastColumn="0" w:noHBand="0" w:noVBand="1"/>
      </w:tblPr>
      <w:tblGrid>
        <w:gridCol w:w="6516"/>
        <w:gridCol w:w="1276"/>
        <w:gridCol w:w="1263"/>
      </w:tblGrid>
      <w:tr w:rsidR="00084E27" w:rsidRPr="001B5E55" w14:paraId="3F5F9C54" w14:textId="77777777" w:rsidTr="00574DAF">
        <w:trPr>
          <w:trHeight w:val="19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8E38" w14:textId="77777777" w:rsidR="00084E27" w:rsidRPr="001B5E55" w:rsidRDefault="00084E27" w:rsidP="00574DA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B5E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  <w:t>Sąnaudos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C14E" w14:textId="77777777" w:rsidR="00084E27" w:rsidRPr="001B5E55" w:rsidRDefault="00084E27" w:rsidP="00574DA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  <w:t>2024 m.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58156" w14:textId="77777777" w:rsidR="00084E27" w:rsidRPr="001B5E55" w:rsidRDefault="00084E27" w:rsidP="00574DA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  <w:t>2025 m.</w:t>
            </w:r>
          </w:p>
        </w:tc>
      </w:tr>
      <w:tr w:rsidR="00084E27" w:rsidRPr="001B5E55" w14:paraId="6058CA0F" w14:textId="77777777" w:rsidTr="00574DAF">
        <w:trPr>
          <w:trHeight w:val="212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256C" w14:textId="77777777" w:rsidR="00084E27" w:rsidRPr="009163C1" w:rsidRDefault="00084E27" w:rsidP="00574DAF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9163C1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МКА surinkimo ir tvarkymo sąnaudos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17114" w14:textId="77777777" w:rsidR="00084E27" w:rsidRPr="00312783" w:rsidRDefault="00084E27" w:rsidP="00574DAF">
            <w:pPr>
              <w:jc w:val="right"/>
              <w:rPr>
                <w:sz w:val="20"/>
                <w:szCs w:val="20"/>
              </w:rPr>
            </w:pPr>
            <w:r w:rsidRPr="00312783">
              <w:rPr>
                <w:sz w:val="20"/>
                <w:szCs w:val="20"/>
              </w:rPr>
              <w:t>258 959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C0C18" w14:textId="77777777" w:rsidR="00084E27" w:rsidRPr="004C089D" w:rsidRDefault="00084E27" w:rsidP="00574DAF">
            <w:pPr>
              <w:jc w:val="right"/>
              <w:rPr>
                <w:sz w:val="20"/>
                <w:szCs w:val="20"/>
              </w:rPr>
            </w:pPr>
            <w:r w:rsidRPr="004C089D">
              <w:rPr>
                <w:sz w:val="20"/>
                <w:szCs w:val="20"/>
              </w:rPr>
              <w:t xml:space="preserve">321 </w:t>
            </w:r>
            <w:r>
              <w:rPr>
                <w:sz w:val="20"/>
                <w:szCs w:val="20"/>
              </w:rPr>
              <w:t>691</w:t>
            </w:r>
          </w:p>
        </w:tc>
      </w:tr>
      <w:tr w:rsidR="00084E27" w:rsidRPr="001B5E55" w14:paraId="779E004D" w14:textId="77777777" w:rsidTr="00574DAF">
        <w:trPr>
          <w:trHeight w:val="7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9D61" w14:textId="77777777" w:rsidR="00084E27" w:rsidRPr="009163C1" w:rsidRDefault="00084E27" w:rsidP="00574DAF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E87FE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BA surinkimo ir vežimo sąnaudos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7CB7" w14:textId="77777777" w:rsidR="00084E27" w:rsidRPr="00312783" w:rsidRDefault="00084E27" w:rsidP="00574DAF">
            <w:pPr>
              <w:jc w:val="right"/>
              <w:rPr>
                <w:sz w:val="20"/>
                <w:szCs w:val="20"/>
              </w:rPr>
            </w:pPr>
            <w:r w:rsidRPr="00312783">
              <w:rPr>
                <w:sz w:val="20"/>
                <w:szCs w:val="20"/>
              </w:rPr>
              <w:t>17 227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3303A" w14:textId="77777777" w:rsidR="00084E27" w:rsidRPr="004C089D" w:rsidRDefault="00084E27" w:rsidP="00574DAF">
            <w:pPr>
              <w:jc w:val="right"/>
              <w:rPr>
                <w:sz w:val="20"/>
                <w:szCs w:val="20"/>
              </w:rPr>
            </w:pPr>
            <w:r w:rsidRPr="004C089D">
              <w:rPr>
                <w:sz w:val="20"/>
                <w:szCs w:val="20"/>
              </w:rPr>
              <w:t xml:space="preserve">26 </w:t>
            </w:r>
            <w:r>
              <w:rPr>
                <w:sz w:val="20"/>
                <w:szCs w:val="20"/>
              </w:rPr>
              <w:t>501</w:t>
            </w:r>
          </w:p>
        </w:tc>
      </w:tr>
      <w:tr w:rsidR="00084E27" w:rsidRPr="001B5E55" w14:paraId="3BAB4C45" w14:textId="77777777" w:rsidTr="00574DAF">
        <w:trPr>
          <w:trHeight w:val="22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8502" w14:textId="77777777" w:rsidR="00084E27" w:rsidRPr="001B5E55" w:rsidRDefault="00084E27" w:rsidP="00574DAF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E87FE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DGA surinkimo ir vežimo sąnaudos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15B18" w14:textId="77777777" w:rsidR="00084E27" w:rsidRPr="00312783" w:rsidRDefault="00084E27" w:rsidP="00574DAF">
            <w:pPr>
              <w:jc w:val="right"/>
              <w:rPr>
                <w:sz w:val="20"/>
                <w:szCs w:val="20"/>
              </w:rPr>
            </w:pPr>
            <w:r w:rsidRPr="00312783">
              <w:rPr>
                <w:sz w:val="20"/>
                <w:szCs w:val="20"/>
              </w:rPr>
              <w:t>4 119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787E" w14:textId="77777777" w:rsidR="00084E27" w:rsidRPr="004C089D" w:rsidRDefault="00084E27" w:rsidP="00574DAF">
            <w:pPr>
              <w:jc w:val="right"/>
              <w:rPr>
                <w:sz w:val="20"/>
                <w:szCs w:val="20"/>
              </w:rPr>
            </w:pPr>
            <w:r w:rsidRPr="004C089D">
              <w:rPr>
                <w:sz w:val="20"/>
                <w:szCs w:val="20"/>
              </w:rPr>
              <w:t>4 958</w:t>
            </w:r>
          </w:p>
        </w:tc>
      </w:tr>
      <w:tr w:rsidR="00084E27" w:rsidRPr="001B5E55" w14:paraId="36654AB7" w14:textId="77777777" w:rsidTr="00574DAF">
        <w:trPr>
          <w:trHeight w:val="22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9CC62" w14:textId="77777777" w:rsidR="00084E27" w:rsidRPr="001B5E55" w:rsidRDefault="00084E27" w:rsidP="00574DAF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E87FE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DGASA eksploatavimo sąnaudos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84292DB" w14:textId="77777777" w:rsidR="00084E27" w:rsidRPr="00312783" w:rsidRDefault="00084E27" w:rsidP="00574D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8D1CB" w14:textId="77777777" w:rsidR="00084E27" w:rsidRPr="004C089D" w:rsidRDefault="00084E27" w:rsidP="00574DAF">
            <w:pPr>
              <w:jc w:val="right"/>
              <w:rPr>
                <w:sz w:val="20"/>
                <w:szCs w:val="20"/>
              </w:rPr>
            </w:pPr>
            <w:r w:rsidRPr="00330E58">
              <w:rPr>
                <w:sz w:val="20"/>
                <w:szCs w:val="20"/>
              </w:rPr>
              <w:t>50 467</w:t>
            </w:r>
          </w:p>
        </w:tc>
      </w:tr>
      <w:tr w:rsidR="00084E27" w:rsidRPr="001B5E55" w14:paraId="445BD9FA" w14:textId="77777777" w:rsidTr="00574DAF">
        <w:trPr>
          <w:trHeight w:val="22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00C85" w14:textId="77777777" w:rsidR="00084E27" w:rsidRPr="001B5E55" w:rsidRDefault="00084E27" w:rsidP="00574DAF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9163C1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Tekstilės atliekų surinkimo ir tvarkymo sąnaudos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D3371" w14:textId="77777777" w:rsidR="00084E27" w:rsidRPr="00312783" w:rsidRDefault="00084E27" w:rsidP="00574D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7 553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B49D2" w14:textId="77777777" w:rsidR="00084E27" w:rsidRPr="004C089D" w:rsidRDefault="00084E27" w:rsidP="00574DAF">
            <w:pPr>
              <w:jc w:val="right"/>
              <w:rPr>
                <w:sz w:val="20"/>
                <w:szCs w:val="20"/>
              </w:rPr>
            </w:pPr>
            <w:r w:rsidRPr="004C089D">
              <w:rPr>
                <w:sz w:val="20"/>
                <w:szCs w:val="20"/>
              </w:rPr>
              <w:t>8 441</w:t>
            </w:r>
          </w:p>
        </w:tc>
      </w:tr>
      <w:tr w:rsidR="00084E27" w:rsidRPr="001B5E55" w14:paraId="6B5D2FA9" w14:textId="77777777" w:rsidTr="00574DAF">
        <w:trPr>
          <w:trHeight w:val="22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619C0" w14:textId="77777777" w:rsidR="00084E27" w:rsidRPr="001B5E55" w:rsidRDefault="00084E27" w:rsidP="00574DAF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E87FE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 tvarkymo sąnaudos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68AA1" w14:textId="77777777" w:rsidR="00084E27" w:rsidRPr="00312783" w:rsidRDefault="00084E27" w:rsidP="00574DAF">
            <w:pPr>
              <w:jc w:val="right"/>
              <w:rPr>
                <w:sz w:val="20"/>
                <w:szCs w:val="20"/>
              </w:rPr>
            </w:pPr>
            <w:r w:rsidRPr="00B6711A">
              <w:rPr>
                <w:sz w:val="20"/>
                <w:szCs w:val="20"/>
              </w:rPr>
              <w:t>640 841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11EF3" w14:textId="77777777" w:rsidR="00084E27" w:rsidRPr="004C089D" w:rsidRDefault="00084E27" w:rsidP="00574DAF">
            <w:pPr>
              <w:jc w:val="right"/>
              <w:rPr>
                <w:sz w:val="20"/>
                <w:szCs w:val="20"/>
              </w:rPr>
            </w:pPr>
            <w:r w:rsidRPr="004C089D">
              <w:rPr>
                <w:sz w:val="20"/>
                <w:szCs w:val="20"/>
              </w:rPr>
              <w:t xml:space="preserve">509 </w:t>
            </w:r>
            <w:r>
              <w:rPr>
                <w:sz w:val="20"/>
                <w:szCs w:val="20"/>
              </w:rPr>
              <w:t>549</w:t>
            </w:r>
          </w:p>
        </w:tc>
      </w:tr>
      <w:tr w:rsidR="00084E27" w:rsidRPr="001B5E55" w14:paraId="5096E45E" w14:textId="77777777" w:rsidTr="00574DAF">
        <w:trPr>
          <w:trHeight w:val="5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A48FF" w14:textId="77777777" w:rsidR="00084E27" w:rsidRPr="001B5E55" w:rsidRDefault="00084E27" w:rsidP="00574DAF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E87FE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 nepriskiriamų buityje susidarančių atliekų tvarkymo sąnaudos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CCF6056" w14:textId="77777777" w:rsidR="00084E27" w:rsidRPr="00312783" w:rsidRDefault="00084E27" w:rsidP="00574D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AD44" w14:textId="77777777" w:rsidR="00084E27" w:rsidRPr="004C089D" w:rsidRDefault="00084E27" w:rsidP="00574DAF">
            <w:pPr>
              <w:jc w:val="right"/>
              <w:rPr>
                <w:sz w:val="20"/>
                <w:szCs w:val="20"/>
              </w:rPr>
            </w:pPr>
            <w:r w:rsidRPr="004C089D">
              <w:rPr>
                <w:sz w:val="20"/>
                <w:szCs w:val="20"/>
              </w:rPr>
              <w:t xml:space="preserve">42 </w:t>
            </w:r>
            <w:r>
              <w:rPr>
                <w:sz w:val="20"/>
                <w:szCs w:val="20"/>
              </w:rPr>
              <w:t>541</w:t>
            </w:r>
          </w:p>
        </w:tc>
      </w:tr>
      <w:tr w:rsidR="00084E27" w:rsidRPr="001B5E55" w14:paraId="28DA413D" w14:textId="77777777" w:rsidTr="00574DAF">
        <w:trPr>
          <w:trHeight w:val="5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3BBBF" w14:textId="77777777" w:rsidR="00084E27" w:rsidRPr="001B5E55" w:rsidRDefault="00084E27" w:rsidP="00574DAF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9163C1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Vietinės </w:t>
            </w: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rinkliavos</w:t>
            </w:r>
            <w:r w:rsidRPr="009163C1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administravimo sąnaudos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660CF" w14:textId="77777777" w:rsidR="00084E27" w:rsidRPr="00312783" w:rsidRDefault="00084E27" w:rsidP="00574DAF">
            <w:pPr>
              <w:jc w:val="right"/>
              <w:rPr>
                <w:sz w:val="20"/>
                <w:szCs w:val="20"/>
              </w:rPr>
            </w:pPr>
            <w:r w:rsidRPr="00312783">
              <w:rPr>
                <w:sz w:val="20"/>
                <w:szCs w:val="20"/>
              </w:rPr>
              <w:t>56 335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CB78B" w14:textId="77777777" w:rsidR="00084E27" w:rsidRPr="004C089D" w:rsidRDefault="00084E27" w:rsidP="00574DAF">
            <w:pPr>
              <w:jc w:val="right"/>
              <w:rPr>
                <w:sz w:val="20"/>
                <w:szCs w:val="20"/>
              </w:rPr>
            </w:pPr>
            <w:r w:rsidRPr="004C089D">
              <w:rPr>
                <w:sz w:val="20"/>
                <w:szCs w:val="20"/>
              </w:rPr>
              <w:t>92 565</w:t>
            </w:r>
          </w:p>
        </w:tc>
      </w:tr>
      <w:tr w:rsidR="00084E27" w:rsidRPr="001B5E55" w14:paraId="6FD6A705" w14:textId="77777777" w:rsidTr="00574DAF">
        <w:trPr>
          <w:trHeight w:val="5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90CF" w14:textId="77777777" w:rsidR="00084E27" w:rsidRPr="001B5E55" w:rsidRDefault="00084E27" w:rsidP="00574DA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B5E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  <w:t>Viso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13242" w14:textId="77777777" w:rsidR="00084E27" w:rsidRPr="00312783" w:rsidRDefault="00084E27" w:rsidP="00574DAF">
            <w:pPr>
              <w:jc w:val="right"/>
              <w:rPr>
                <w:b/>
                <w:bCs/>
                <w:sz w:val="20"/>
                <w:szCs w:val="20"/>
              </w:rPr>
            </w:pPr>
            <w:r w:rsidRPr="00312783">
              <w:rPr>
                <w:b/>
                <w:bCs/>
                <w:sz w:val="20"/>
                <w:szCs w:val="20"/>
              </w:rPr>
              <w:t>985 035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1FEBF" w14:textId="77777777" w:rsidR="00084E27" w:rsidRPr="00330E58" w:rsidRDefault="00084E27" w:rsidP="00574D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0E58">
              <w:rPr>
                <w:b/>
                <w:bCs/>
                <w:color w:val="000000"/>
                <w:sz w:val="20"/>
                <w:szCs w:val="20"/>
              </w:rPr>
              <w:t>1 056 713</w:t>
            </w:r>
          </w:p>
        </w:tc>
      </w:tr>
      <w:tr w:rsidR="00084E27" w:rsidRPr="001B5E55" w14:paraId="5B2D70C1" w14:textId="77777777" w:rsidTr="00574DAF">
        <w:trPr>
          <w:trHeight w:val="5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6F84" w14:textId="77777777" w:rsidR="00084E27" w:rsidRPr="001B5E55" w:rsidRDefault="00084E27" w:rsidP="00574DA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Pastovi dalis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CE8CD" w14:textId="77777777" w:rsidR="00084E27" w:rsidRPr="00312783" w:rsidRDefault="00084E27" w:rsidP="00574D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394 014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BF61B" w14:textId="77777777" w:rsidR="00084E27" w:rsidRPr="00330E58" w:rsidRDefault="00084E27" w:rsidP="00574DAF">
            <w:pPr>
              <w:jc w:val="right"/>
              <w:rPr>
                <w:sz w:val="20"/>
                <w:szCs w:val="20"/>
              </w:rPr>
            </w:pPr>
            <w:r w:rsidRPr="00330E58">
              <w:rPr>
                <w:sz w:val="20"/>
                <w:szCs w:val="20"/>
              </w:rPr>
              <w:t>422 685</w:t>
            </w:r>
          </w:p>
        </w:tc>
      </w:tr>
      <w:tr w:rsidR="00084E27" w:rsidRPr="001B5E55" w14:paraId="37C7178F" w14:textId="77777777" w:rsidTr="00574DAF">
        <w:trPr>
          <w:trHeight w:val="5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B7B32" w14:textId="77777777" w:rsidR="00084E27" w:rsidRPr="001B5E55" w:rsidRDefault="00084E27" w:rsidP="00574DA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Kintama dalis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21A42" w14:textId="77777777" w:rsidR="00084E27" w:rsidRPr="00312783" w:rsidRDefault="00084E27" w:rsidP="00574D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591 021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641CD" w14:textId="77777777" w:rsidR="00084E27" w:rsidRPr="00330E58" w:rsidRDefault="00084E27" w:rsidP="00574DAF">
            <w:pPr>
              <w:jc w:val="right"/>
              <w:rPr>
                <w:sz w:val="20"/>
                <w:szCs w:val="20"/>
              </w:rPr>
            </w:pPr>
            <w:r w:rsidRPr="00330E58">
              <w:rPr>
                <w:sz w:val="20"/>
                <w:szCs w:val="20"/>
              </w:rPr>
              <w:t>634 028</w:t>
            </w:r>
          </w:p>
        </w:tc>
      </w:tr>
    </w:tbl>
    <w:p w14:paraId="6BDFAABA" w14:textId="77777777" w:rsidR="00084E27" w:rsidRDefault="00084E27" w:rsidP="00084E27">
      <w:pPr>
        <w:rPr>
          <w:sz w:val="20"/>
          <w:szCs w:val="20"/>
        </w:rPr>
      </w:pPr>
    </w:p>
    <w:p w14:paraId="7EA5A358" w14:textId="77777777" w:rsidR="00084E27" w:rsidRDefault="00084E27" w:rsidP="00084E27">
      <w:pPr>
        <w:rPr>
          <w:bCs/>
        </w:rPr>
      </w:pPr>
      <w:r>
        <w:rPr>
          <w:bCs/>
        </w:rPr>
        <w:t xml:space="preserve">2025 m. prognozuojamos su Jurbarko raj. savivaldybės su komunalinių atliekų ir komunalinėms atliekoms nepriskiriamų buityje susidarančių atliekų tvarkymu susijusios </w:t>
      </w:r>
      <w:r w:rsidRPr="00330E58">
        <w:rPr>
          <w:bCs/>
        </w:rPr>
        <w:t>sąnaudos yra 284 tūkst. Eur arba 37 proc. didesnės nei pagal dabartinius vietinės rinkliavos dydžius 2024 m. paskaičiuota vietinės rinkliavos priskaitymų suma.</w:t>
      </w:r>
    </w:p>
    <w:p w14:paraId="337857E3" w14:textId="77777777" w:rsidR="00084E27" w:rsidRPr="007014B1" w:rsidRDefault="00084E27" w:rsidP="00084E27">
      <w:pPr>
        <w:rPr>
          <w:sz w:val="20"/>
          <w:szCs w:val="20"/>
        </w:rPr>
      </w:pPr>
    </w:p>
    <w:p w14:paraId="2AD06F1E" w14:textId="77777777" w:rsidR="00084E27" w:rsidRDefault="00084E27" w:rsidP="00084E27">
      <w:pPr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2025 m. mišrių k</w:t>
      </w:r>
      <w:r w:rsidRPr="00D04436">
        <w:rPr>
          <w:rFonts w:eastAsia="Times New Roman"/>
          <w:lang w:eastAsia="lt-LT"/>
        </w:rPr>
        <w:t xml:space="preserve">omunalinių atliekų </w:t>
      </w:r>
      <w:r>
        <w:rPr>
          <w:rFonts w:eastAsia="Times New Roman"/>
          <w:lang w:eastAsia="lt-LT"/>
        </w:rPr>
        <w:t>susidarymo</w:t>
      </w:r>
      <w:r w:rsidRPr="00D04436">
        <w:rPr>
          <w:rFonts w:eastAsia="Times New Roman"/>
          <w:lang w:eastAsia="lt-LT"/>
        </w:rPr>
        <w:t xml:space="preserve"> normos</w:t>
      </w:r>
      <w:r>
        <w:rPr>
          <w:rFonts w:eastAsia="Times New Roman"/>
          <w:lang w:eastAsia="lt-LT"/>
        </w:rPr>
        <w:t xml:space="preserve"> Jurbarko raj. savivaldybėje</w:t>
      </w: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6379"/>
        <w:gridCol w:w="2126"/>
      </w:tblGrid>
      <w:tr w:rsidR="00084E27" w:rsidRPr="008116A6" w14:paraId="6DC3EE8B" w14:textId="77777777" w:rsidTr="00574DAF">
        <w:trPr>
          <w:trHeight w:val="1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8899" w14:textId="77777777" w:rsidR="00084E27" w:rsidRPr="00E843B5" w:rsidRDefault="00084E27" w:rsidP="00574DA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 w:rsidRPr="00E843B5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 xml:space="preserve">Nekilnojamojo turto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 xml:space="preserve">objektų </w:t>
            </w:r>
            <w:r w:rsidRPr="00E843B5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>kategorija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1FFC" w14:textId="77777777" w:rsidR="00084E27" w:rsidRPr="008116A6" w:rsidRDefault="00084E27" w:rsidP="00574DA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 w:rsidRPr="00C45A98">
              <w:rPr>
                <w:rFonts w:eastAsia="MS PGothic"/>
                <w:b/>
                <w:kern w:val="24"/>
                <w:sz w:val="20"/>
                <w:szCs w:val="20"/>
                <w:lang w:eastAsia="lt-LT"/>
              </w:rPr>
              <w:t xml:space="preserve">Metinė </w:t>
            </w:r>
            <w:r>
              <w:rPr>
                <w:rFonts w:eastAsia="MS PGothic"/>
                <w:b/>
                <w:kern w:val="24"/>
                <w:sz w:val="20"/>
                <w:szCs w:val="20"/>
                <w:lang w:eastAsia="lt-LT"/>
              </w:rPr>
              <w:t>M</w:t>
            </w:r>
            <w:r w:rsidRPr="00C45A98">
              <w:rPr>
                <w:rFonts w:eastAsia="MS PGothic"/>
                <w:b/>
                <w:kern w:val="24"/>
                <w:sz w:val="20"/>
                <w:szCs w:val="20"/>
                <w:lang w:eastAsia="lt-LT"/>
              </w:rPr>
              <w:t>KA susidarymo norma</w:t>
            </w:r>
          </w:p>
        </w:tc>
      </w:tr>
      <w:tr w:rsidR="00084E27" w:rsidRPr="00C45A98" w14:paraId="07410BBB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4F33" w14:textId="77777777" w:rsidR="00084E27" w:rsidRPr="00C45A98" w:rsidRDefault="00084E27" w:rsidP="00574DAF">
            <w:pPr>
              <w:rPr>
                <w:rFonts w:eastAsia="Times New Roman"/>
                <w:bCs/>
                <w:iCs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Gyvenamosios paskirties objektai (</w:t>
            </w:r>
            <w:proofErr w:type="spellStart"/>
            <w:r>
              <w:rPr>
                <w:sz w:val="20"/>
                <w:szCs w:val="20"/>
              </w:rPr>
              <w:t>ind</w:t>
            </w:r>
            <w:proofErr w:type="spellEnd"/>
            <w:r>
              <w:rPr>
                <w:sz w:val="20"/>
                <w:szCs w:val="20"/>
              </w:rPr>
              <w:t>. namai)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1FF03" w14:textId="77777777" w:rsidR="00084E27" w:rsidRPr="00C45A98" w:rsidRDefault="00084E27" w:rsidP="00574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4,94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84E27" w:rsidRPr="00C45A98" w14:paraId="66A61679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BF27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Gyvenamosios paskirties objektai (butai)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11A2D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5,78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84E27" w:rsidRPr="00C45A98" w14:paraId="401AB9AF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90FFA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Viešbučių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6B280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5,04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84E27" w:rsidRPr="00C45A98" w14:paraId="46F2632C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2389A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Administracinės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5777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3,55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84E27" w:rsidRPr="00C45A98" w14:paraId="3879B1E1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5AE3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Prekybos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29061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4,26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84E27" w:rsidRPr="00C45A98" w14:paraId="592C57BF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9DA02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Paslaugų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D4D54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3,54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84E27" w:rsidRPr="00C45A98" w14:paraId="594DC2BA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F1820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Maitinimo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D4004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6,45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84E27" w:rsidRPr="00C45A98" w14:paraId="3AFDDDD6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3B48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Transporto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E73D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3,28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84E27" w:rsidRPr="00C45A98" w14:paraId="7AC01A62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29F1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Garažų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9DC2A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25,80 kg/turto vnt.</w:t>
            </w:r>
          </w:p>
        </w:tc>
      </w:tr>
      <w:tr w:rsidR="00084E27" w:rsidRPr="00C45A98" w14:paraId="25E0B1FA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2DB8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Gamybos, pramonės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3B919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4,21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84E27" w:rsidRPr="00C45A98" w14:paraId="2FC4C594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78A5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Sandėliavimo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92DF5" w14:textId="77777777" w:rsidR="00084E27" w:rsidRDefault="00084E27" w:rsidP="00574DAF">
            <w:pPr>
              <w:jc w:val="center"/>
              <w:rPr>
                <w:sz w:val="20"/>
              </w:rPr>
            </w:pPr>
          </w:p>
        </w:tc>
      </w:tr>
      <w:tr w:rsidR="00084E27" w:rsidRPr="00C45A98" w14:paraId="3C76EAAE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93BC" w14:textId="77777777" w:rsidR="00084E27" w:rsidRDefault="00084E27" w:rsidP="00574DAF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</w:t>
            </w:r>
            <w:r w:rsidRPr="00617BB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C6C62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102,64</w:t>
            </w:r>
            <w:r>
              <w:rPr>
                <w:sz w:val="20"/>
              </w:rPr>
              <w:t xml:space="preserve"> kg/turto vnt.</w:t>
            </w:r>
          </w:p>
        </w:tc>
      </w:tr>
      <w:tr w:rsidR="00084E27" w:rsidRPr="00C45A98" w14:paraId="3E0A1395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5F173" w14:textId="77777777" w:rsidR="00084E27" w:rsidRDefault="00084E27" w:rsidP="00574DAF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 100 iki 500 m</w:t>
            </w:r>
            <w:r w:rsidRPr="00617BB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C9342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412,30</w:t>
            </w:r>
            <w:r>
              <w:rPr>
                <w:sz w:val="20"/>
              </w:rPr>
              <w:t xml:space="preserve"> kg/turto vnt.</w:t>
            </w:r>
          </w:p>
        </w:tc>
      </w:tr>
      <w:tr w:rsidR="00084E27" w:rsidRPr="00C45A98" w14:paraId="26D62D0C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1558" w14:textId="77777777" w:rsidR="00084E27" w:rsidRDefault="00084E27" w:rsidP="00574DAF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 500 iki 2000 m</w:t>
            </w:r>
            <w:r w:rsidRPr="00617BB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59F1F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825,07</w:t>
            </w:r>
            <w:r>
              <w:rPr>
                <w:sz w:val="20"/>
              </w:rPr>
              <w:t xml:space="preserve"> kg/turto vnt.</w:t>
            </w:r>
          </w:p>
        </w:tc>
      </w:tr>
      <w:tr w:rsidR="00084E27" w:rsidRPr="00C45A98" w14:paraId="141D456F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F577" w14:textId="77777777" w:rsidR="00084E27" w:rsidRDefault="00084E27" w:rsidP="00574DAF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virš 2000 m</w:t>
            </w:r>
            <w:r w:rsidRPr="00617BB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78104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1 334,09</w:t>
            </w:r>
            <w:r>
              <w:rPr>
                <w:sz w:val="20"/>
              </w:rPr>
              <w:t xml:space="preserve"> kg/turto vnt.</w:t>
            </w:r>
          </w:p>
        </w:tc>
      </w:tr>
      <w:tr w:rsidR="00084E27" w:rsidRPr="00C45A98" w14:paraId="5D2740EF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5D22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Kultūros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AC8D4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0,71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84E27" w:rsidRPr="00C45A98" w14:paraId="7D40F5DB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2FB72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Mokslo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53077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0,92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84E27" w:rsidRPr="00C45A98" w14:paraId="069A976F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4CE57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Gydymo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BC24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1,97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84E27" w:rsidRPr="00C45A98" w14:paraId="5E32DC0D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03571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Poilsio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F3220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2,82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84E27" w:rsidRPr="00C45A98" w14:paraId="1C69E2FE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C42D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Sporto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2C9F0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1,75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84E27" w:rsidRPr="00C45A98" w14:paraId="09CB14D2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E5D8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lastRenderedPageBreak/>
              <w:t>Religinės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F5275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1,87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84E27" w:rsidRPr="00C45A98" w14:paraId="62B779A6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6640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Specialiosios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1744D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3,72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84E27" w:rsidRPr="00C45A98" w14:paraId="66F62C56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C0AE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Sodų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691DA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70,46 kg/turto vnt.</w:t>
            </w:r>
          </w:p>
        </w:tc>
      </w:tr>
      <w:tr w:rsidR="00084E27" w:rsidRPr="00C45A98" w14:paraId="5ED66E5D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FDEC6" w14:textId="77777777" w:rsidR="00084E27" w:rsidRDefault="00084E27" w:rsidP="00574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Žemės ūkio paskirties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20B40" w14:textId="77777777" w:rsidR="00084E27" w:rsidRDefault="00084E27" w:rsidP="00574DAF">
            <w:pPr>
              <w:jc w:val="center"/>
              <w:rPr>
                <w:sz w:val="20"/>
              </w:rPr>
            </w:pPr>
          </w:p>
        </w:tc>
      </w:tr>
      <w:tr w:rsidR="00084E27" w:rsidRPr="00C45A98" w14:paraId="63092F62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D700" w14:textId="77777777" w:rsidR="00084E27" w:rsidRDefault="00084E27" w:rsidP="00574DAF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</w:t>
            </w:r>
            <w:r w:rsidRPr="00617BB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90672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50,29</w:t>
            </w:r>
            <w:r>
              <w:rPr>
                <w:sz w:val="20"/>
              </w:rPr>
              <w:t xml:space="preserve"> kg/turto vnt.</w:t>
            </w:r>
          </w:p>
        </w:tc>
      </w:tr>
      <w:tr w:rsidR="00084E27" w:rsidRPr="00C45A98" w14:paraId="2AEC6704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BB8FC" w14:textId="77777777" w:rsidR="00084E27" w:rsidRDefault="00084E27" w:rsidP="00574DAF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 100 iki 500 m</w:t>
            </w:r>
            <w:r w:rsidRPr="00617BB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9B73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164,16</w:t>
            </w:r>
            <w:r>
              <w:rPr>
                <w:sz w:val="20"/>
              </w:rPr>
              <w:t xml:space="preserve"> kg/turto vnt.</w:t>
            </w:r>
          </w:p>
        </w:tc>
      </w:tr>
      <w:tr w:rsidR="00084E27" w:rsidRPr="00C45A98" w14:paraId="1B2AA92D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CEEE" w14:textId="77777777" w:rsidR="00084E27" w:rsidRDefault="00084E27" w:rsidP="00574DAF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 500 iki 2000 m</w:t>
            </w:r>
            <w:r w:rsidRPr="00617BB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6F6F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351,18</w:t>
            </w:r>
            <w:r>
              <w:rPr>
                <w:sz w:val="20"/>
              </w:rPr>
              <w:t xml:space="preserve"> kg/turto vnt.</w:t>
            </w:r>
          </w:p>
        </w:tc>
      </w:tr>
      <w:tr w:rsidR="00084E27" w:rsidRPr="00C45A98" w14:paraId="017F27CB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F180" w14:textId="77777777" w:rsidR="00084E27" w:rsidRDefault="00084E27" w:rsidP="00574DAF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virš 2000 m</w:t>
            </w:r>
            <w:r w:rsidRPr="00617BB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58EAC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539,25</w:t>
            </w:r>
            <w:r>
              <w:rPr>
                <w:sz w:val="20"/>
              </w:rPr>
              <w:t xml:space="preserve"> kg/turto vnt.</w:t>
            </w:r>
          </w:p>
        </w:tc>
      </w:tr>
      <w:tr w:rsidR="00084E27" w:rsidRPr="00C45A98" w14:paraId="6AAE6761" w14:textId="77777777" w:rsidTr="00574DAF">
        <w:trPr>
          <w:trHeight w:val="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38EB" w14:textId="77777777" w:rsidR="00084E27" w:rsidRDefault="00084E27" w:rsidP="00574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 neįvardinti objektai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3C42" w14:textId="77777777" w:rsidR="00084E27" w:rsidRDefault="00084E27" w:rsidP="00574DA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3,62 kg/m</w:t>
            </w:r>
            <w:r w:rsidRPr="00560707">
              <w:rPr>
                <w:sz w:val="20"/>
                <w:szCs w:val="20"/>
                <w:vertAlign w:val="superscript"/>
              </w:rPr>
              <w:t>2</w:t>
            </w:r>
          </w:p>
        </w:tc>
      </w:tr>
    </w:tbl>
    <w:p w14:paraId="3FC0E608" w14:textId="77777777" w:rsidR="00084E27" w:rsidRDefault="00084E27" w:rsidP="00084E27">
      <w:pPr>
        <w:rPr>
          <w:rFonts w:eastAsia="Times New Roman"/>
          <w:lang w:eastAsia="lt-LT"/>
        </w:rPr>
      </w:pPr>
    </w:p>
    <w:p w14:paraId="66459799" w14:textId="77777777" w:rsidR="00084E27" w:rsidRDefault="00084E27" w:rsidP="00084E27">
      <w:pPr>
        <w:rPr>
          <w:rFonts w:eastAsia="Times New Roman"/>
          <w:lang w:eastAsia="lt-LT"/>
        </w:rPr>
      </w:pPr>
      <w:r w:rsidRPr="00B45CF5">
        <w:rPr>
          <w:rFonts w:eastAsia="Times New Roman"/>
          <w:lang w:eastAsia="lt-LT"/>
        </w:rPr>
        <w:t>202</w:t>
      </w:r>
      <w:r>
        <w:rPr>
          <w:rFonts w:eastAsia="Times New Roman"/>
          <w:lang w:eastAsia="lt-LT"/>
        </w:rPr>
        <w:t>5</w:t>
      </w:r>
      <w:r w:rsidRPr="00B45CF5">
        <w:rPr>
          <w:rFonts w:eastAsia="Times New Roman"/>
          <w:lang w:eastAsia="lt-LT"/>
        </w:rPr>
        <w:t xml:space="preserve"> m</w:t>
      </w:r>
      <w:r>
        <w:rPr>
          <w:rFonts w:eastAsia="Times New Roman"/>
          <w:lang w:eastAsia="lt-LT"/>
        </w:rPr>
        <w:t>.</w:t>
      </w:r>
      <w:r w:rsidRPr="00B45CF5">
        <w:rPr>
          <w:rFonts w:eastAsia="Times New Roman"/>
          <w:lang w:eastAsia="lt-LT"/>
        </w:rPr>
        <w:t xml:space="preserve"> </w:t>
      </w:r>
      <w:r>
        <w:rPr>
          <w:rFonts w:eastAsia="Times New Roman"/>
          <w:lang w:eastAsia="lt-LT"/>
        </w:rPr>
        <w:t xml:space="preserve">paskaičiuoti Jurbarko raj. savivaldybės </w:t>
      </w:r>
      <w:r w:rsidRPr="00B45CF5">
        <w:rPr>
          <w:rFonts w:eastAsia="Times New Roman"/>
          <w:lang w:eastAsia="lt-LT"/>
        </w:rPr>
        <w:t xml:space="preserve">vietinės </w:t>
      </w:r>
      <w:r>
        <w:rPr>
          <w:rFonts w:eastAsia="Times New Roman"/>
          <w:lang w:eastAsia="lt-LT"/>
        </w:rPr>
        <w:t>rinkliavos</w:t>
      </w:r>
      <w:r w:rsidRPr="00B45CF5">
        <w:rPr>
          <w:rFonts w:eastAsia="Times New Roman"/>
          <w:lang w:eastAsia="lt-LT"/>
        </w:rPr>
        <w:t xml:space="preserve"> dydžiai</w:t>
      </w:r>
      <w:r>
        <w:rPr>
          <w:rFonts w:eastAsia="Times New Roman"/>
          <w:lang w:eastAsia="lt-LT"/>
        </w:rPr>
        <w:t>, Eur per metus</w:t>
      </w:r>
    </w:p>
    <w:tbl>
      <w:tblPr>
        <w:tblW w:w="99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1418"/>
        <w:gridCol w:w="709"/>
        <w:gridCol w:w="1418"/>
        <w:gridCol w:w="1413"/>
      </w:tblGrid>
      <w:tr w:rsidR="00084E27" w:rsidRPr="000250C9" w14:paraId="757B81C1" w14:textId="77777777" w:rsidTr="00574DAF">
        <w:trPr>
          <w:trHeight w:val="7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5A87E" w14:textId="77777777" w:rsidR="00084E27" w:rsidRPr="000250C9" w:rsidRDefault="00084E27" w:rsidP="00574DAF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250C9">
              <w:rPr>
                <w:b/>
                <w:bCs/>
                <w:sz w:val="20"/>
                <w:szCs w:val="20"/>
              </w:rPr>
              <w:t>Nekilnojamojo turto objektų kategorijos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B06F" w14:textId="77777777" w:rsidR="00084E27" w:rsidRPr="000250C9" w:rsidRDefault="00084E27" w:rsidP="00574DAF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Vietinės rinkliavos p</w:t>
            </w:r>
            <w:r w:rsidRPr="000250C9">
              <w:rPr>
                <w:b/>
                <w:bCs/>
                <w:sz w:val="20"/>
                <w:szCs w:val="20"/>
              </w:rPr>
              <w:t xml:space="preserve">astovioji </w:t>
            </w:r>
            <w:r>
              <w:rPr>
                <w:b/>
                <w:bCs/>
                <w:sz w:val="20"/>
                <w:szCs w:val="20"/>
              </w:rPr>
              <w:t>dalis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50D1" w14:textId="77777777" w:rsidR="00084E27" w:rsidRPr="00B45CF5" w:rsidRDefault="00084E27" w:rsidP="00574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Vietinės rinkliavos kintamoji dalis</w:t>
            </w:r>
            <w:r w:rsidRPr="000250C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2823" w14:textId="77777777" w:rsidR="00084E27" w:rsidRDefault="00084E27" w:rsidP="00574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Pokytis palyginus su galiojančiais dydžiais</w:t>
            </w:r>
          </w:p>
        </w:tc>
      </w:tr>
      <w:tr w:rsidR="00084E27" w:rsidRPr="000250C9" w14:paraId="01905EFB" w14:textId="77777777" w:rsidTr="00574DAF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DCE6A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Gyvenamosios paskirties objektai </w:t>
            </w:r>
          </w:p>
          <w:p w14:paraId="5E547160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(individualūs namai)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8E6AE8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829DD" w14:textId="77777777" w:rsidR="00084E27" w:rsidRPr="000250C9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05AC61F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6F6E01" w14:textId="77777777" w:rsidR="00084E27" w:rsidRPr="000250C9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DBCE90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37,0%</w:t>
            </w:r>
          </w:p>
        </w:tc>
      </w:tr>
      <w:tr w:rsidR="00084E27" w:rsidRPr="000250C9" w14:paraId="00688B59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6F9E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Gyvenamosios paskirties objektai (butai)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ECF39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A659" w14:textId="77777777" w:rsidR="00084E27" w:rsidRPr="000250C9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A5E06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0723" w14:textId="77777777" w:rsidR="00084E27" w:rsidRPr="000250C9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A666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37,3%</w:t>
            </w:r>
          </w:p>
        </w:tc>
      </w:tr>
      <w:tr w:rsidR="00084E27" w:rsidRPr="000250C9" w14:paraId="361713E5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8536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Viešbučių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14516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FE09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57D15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51FD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3C10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37,1%</w:t>
            </w:r>
          </w:p>
        </w:tc>
      </w:tr>
      <w:tr w:rsidR="00084E27" w:rsidRPr="000250C9" w14:paraId="39A8F8A6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091E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Administracinės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17DF8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642B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18DA0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2251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C8C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37,8%</w:t>
            </w:r>
          </w:p>
        </w:tc>
      </w:tr>
      <w:tr w:rsidR="00084E27" w:rsidRPr="000250C9" w14:paraId="26CDF4C6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BE37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Prekybos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90984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D603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4E864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F9C0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2826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38,0%</w:t>
            </w:r>
          </w:p>
        </w:tc>
      </w:tr>
      <w:tr w:rsidR="00084E27" w:rsidRPr="000250C9" w14:paraId="132D68A0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27E5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Paslaugų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B5F78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7249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F1F61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A34E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C3BA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38,1%</w:t>
            </w:r>
          </w:p>
        </w:tc>
      </w:tr>
      <w:tr w:rsidR="00084E27" w:rsidRPr="000250C9" w14:paraId="2480DB33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827D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Maitinimo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1DBE1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F617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9C8C5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DD25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BB65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38,2%</w:t>
            </w:r>
          </w:p>
        </w:tc>
      </w:tr>
      <w:tr w:rsidR="00084E27" w:rsidRPr="000250C9" w14:paraId="2506E17A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EE45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Transporto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2B67E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C920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3CA29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5259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F6CC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37,4%</w:t>
            </w:r>
          </w:p>
        </w:tc>
      </w:tr>
      <w:tr w:rsidR="00084E27" w:rsidRPr="000250C9" w14:paraId="6C9F9559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D86B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Individualių (bendrijų) garažų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F4535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CEE8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  <w:r w:rsidRPr="00A3113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46D27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46F5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  <w:r w:rsidRPr="00A31137">
              <w:rPr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2462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37,7%</w:t>
            </w:r>
          </w:p>
        </w:tc>
      </w:tr>
      <w:tr w:rsidR="00084E27" w:rsidRPr="000250C9" w14:paraId="3C4D88CB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57B1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Gamybos, pramonės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DEB8F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80A6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E46E2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1920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D656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37,4%</w:t>
            </w:r>
          </w:p>
        </w:tc>
      </w:tr>
      <w:tr w:rsidR="00084E27" w:rsidRPr="000250C9" w14:paraId="3E712E92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AECA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Sandėliavimo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F2318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33E6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DD2DA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B5EE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944" w14:textId="77777777" w:rsidR="00084E27" w:rsidRPr="009216BC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</w:p>
        </w:tc>
      </w:tr>
      <w:tr w:rsidR="00084E27" w:rsidRPr="000250C9" w14:paraId="5041BBF3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5ADA" w14:textId="77777777" w:rsidR="00084E27" w:rsidRDefault="00084E27" w:rsidP="00574DAF">
            <w:pPr>
              <w:suppressAutoHyphens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</w:t>
            </w:r>
            <w:r w:rsidRPr="00617BB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E1F70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AEAF" w14:textId="77777777" w:rsidR="00084E27" w:rsidRPr="00A3113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21C63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BDE6" w14:textId="77777777" w:rsidR="00084E27" w:rsidRPr="00A3113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F722" w14:textId="77777777" w:rsidR="00084E27" w:rsidRPr="009216BC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B35C78">
              <w:rPr>
                <w:sz w:val="20"/>
                <w:szCs w:val="20"/>
              </w:rPr>
              <w:t>-</w:t>
            </w:r>
          </w:p>
        </w:tc>
      </w:tr>
      <w:tr w:rsidR="00084E27" w:rsidRPr="000250C9" w14:paraId="6855AA47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4900" w14:textId="77777777" w:rsidR="00084E27" w:rsidRDefault="00084E27" w:rsidP="00574DAF">
            <w:pPr>
              <w:suppressAutoHyphens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 100 iki 500 m</w:t>
            </w:r>
            <w:r w:rsidRPr="00617BB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131CE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9D80" w14:textId="77777777" w:rsidR="00084E27" w:rsidRPr="00A3113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72666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C3F0" w14:textId="77777777" w:rsidR="00084E27" w:rsidRPr="00A3113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A077" w14:textId="77777777" w:rsidR="00084E27" w:rsidRPr="009216BC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B35C78">
              <w:rPr>
                <w:sz w:val="20"/>
                <w:szCs w:val="20"/>
              </w:rPr>
              <w:t>-</w:t>
            </w:r>
          </w:p>
        </w:tc>
      </w:tr>
      <w:tr w:rsidR="00084E27" w:rsidRPr="000250C9" w14:paraId="5B1C5EEA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6B6" w14:textId="77777777" w:rsidR="00084E27" w:rsidRDefault="00084E27" w:rsidP="00574DAF">
            <w:pPr>
              <w:suppressAutoHyphens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 500 iki 2000 m</w:t>
            </w:r>
            <w:r w:rsidRPr="00617BB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553B0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8365" w14:textId="77777777" w:rsidR="00084E27" w:rsidRPr="00A3113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5884B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6D79" w14:textId="77777777" w:rsidR="00084E27" w:rsidRPr="00A3113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BF0E" w14:textId="77777777" w:rsidR="00084E27" w:rsidRPr="009216BC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B35C78">
              <w:rPr>
                <w:sz w:val="20"/>
                <w:szCs w:val="20"/>
              </w:rPr>
              <w:t>-</w:t>
            </w:r>
          </w:p>
        </w:tc>
      </w:tr>
      <w:tr w:rsidR="00084E27" w:rsidRPr="000250C9" w14:paraId="2CA62B5D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2740" w14:textId="77777777" w:rsidR="00084E27" w:rsidRDefault="00084E27" w:rsidP="00574DAF">
            <w:pPr>
              <w:suppressAutoHyphens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virš 2000 m</w:t>
            </w:r>
            <w:r w:rsidRPr="00617BB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89FD6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A990" w14:textId="77777777" w:rsidR="00084E27" w:rsidRPr="00A3113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DC477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EA31" w14:textId="77777777" w:rsidR="00084E27" w:rsidRPr="00A3113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0F13" w14:textId="77777777" w:rsidR="00084E27" w:rsidRPr="009216BC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B35C78">
              <w:rPr>
                <w:sz w:val="20"/>
                <w:szCs w:val="20"/>
              </w:rPr>
              <w:t>-</w:t>
            </w:r>
          </w:p>
        </w:tc>
      </w:tr>
      <w:tr w:rsidR="00084E27" w:rsidRPr="000250C9" w14:paraId="705B6501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1FE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Kultūros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87ADB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E784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7A97D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0809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2321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37,9%</w:t>
            </w:r>
          </w:p>
        </w:tc>
      </w:tr>
      <w:tr w:rsidR="00084E27" w:rsidRPr="000250C9" w14:paraId="045FBBFB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C428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Mokslo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828D7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B91E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174DE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0845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0B91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38,1%</w:t>
            </w:r>
          </w:p>
        </w:tc>
      </w:tr>
      <w:tr w:rsidR="00084E27" w:rsidRPr="000250C9" w14:paraId="6A7285DD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3ADD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Gydymo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E1059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D490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874ED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6F0F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4672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38,7%</w:t>
            </w:r>
          </w:p>
        </w:tc>
      </w:tr>
      <w:tr w:rsidR="00084E27" w:rsidRPr="000250C9" w14:paraId="4FE09F16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5244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Poilsio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ED285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0DAA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BE1F6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84D8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0A4B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38,2%</w:t>
            </w:r>
          </w:p>
        </w:tc>
      </w:tr>
      <w:tr w:rsidR="00084E27" w:rsidRPr="000250C9" w14:paraId="5EF08411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DF89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Sporto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39517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52D3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5165D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B09E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9E80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37,9%</w:t>
            </w:r>
          </w:p>
        </w:tc>
      </w:tr>
      <w:tr w:rsidR="00084E27" w:rsidRPr="000250C9" w14:paraId="730CCE79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6BD9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Religinės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13E58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9FFE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3ADF1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A1C8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6E72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37,4%</w:t>
            </w:r>
          </w:p>
        </w:tc>
      </w:tr>
      <w:tr w:rsidR="00084E27" w:rsidRPr="000250C9" w14:paraId="3C6D37EE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E79A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Specialiosios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6CB4D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FFF8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5B360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1B07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BB61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37,3%</w:t>
            </w:r>
          </w:p>
        </w:tc>
      </w:tr>
      <w:tr w:rsidR="00084E27" w:rsidRPr="000250C9" w14:paraId="74DD56E1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6812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Sodų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66BC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1F3B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4C140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6B2C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564B" w14:textId="77777777" w:rsidR="00084E27" w:rsidRPr="00FF63A3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FF63A3">
              <w:rPr>
                <w:sz w:val="20"/>
                <w:szCs w:val="20"/>
              </w:rPr>
              <w:t>37,1%</w:t>
            </w:r>
          </w:p>
        </w:tc>
      </w:tr>
      <w:tr w:rsidR="00084E27" w:rsidRPr="000250C9" w14:paraId="6A567A64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FB8F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Žemės ūkio paskirties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186AC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59A4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3A44C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C888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F54E" w14:textId="77777777" w:rsidR="00084E27" w:rsidRPr="009216BC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</w:p>
        </w:tc>
      </w:tr>
      <w:tr w:rsidR="00084E27" w:rsidRPr="000250C9" w14:paraId="540B9636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2BFE" w14:textId="77777777" w:rsidR="00084E27" w:rsidRDefault="00084E27" w:rsidP="00574DAF">
            <w:pPr>
              <w:suppressAutoHyphens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</w:t>
            </w:r>
            <w:r w:rsidRPr="00617BB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E64B2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EE0E" w14:textId="77777777" w:rsidR="00084E27" w:rsidRPr="00A3113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E96C8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4EB3" w14:textId="77777777" w:rsidR="00084E27" w:rsidRPr="00A3113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ECE9" w14:textId="77777777" w:rsidR="00084E27" w:rsidRPr="009216BC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B35C78">
              <w:rPr>
                <w:sz w:val="20"/>
                <w:szCs w:val="20"/>
              </w:rPr>
              <w:t>-</w:t>
            </w:r>
          </w:p>
        </w:tc>
      </w:tr>
      <w:tr w:rsidR="00084E27" w:rsidRPr="000250C9" w14:paraId="6D49DF5A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8136" w14:textId="77777777" w:rsidR="00084E27" w:rsidRDefault="00084E27" w:rsidP="00574DAF">
            <w:pPr>
              <w:suppressAutoHyphens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 100 iki 500 m</w:t>
            </w:r>
            <w:r w:rsidRPr="00617BB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FEE88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78D2" w14:textId="77777777" w:rsidR="00084E27" w:rsidRPr="00A3113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E10F1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C2AB" w14:textId="77777777" w:rsidR="00084E27" w:rsidRPr="00A3113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0126" w14:textId="77777777" w:rsidR="00084E27" w:rsidRPr="009216BC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B35C78">
              <w:rPr>
                <w:sz w:val="20"/>
                <w:szCs w:val="20"/>
              </w:rPr>
              <w:t>-</w:t>
            </w:r>
          </w:p>
        </w:tc>
      </w:tr>
      <w:tr w:rsidR="00084E27" w:rsidRPr="000250C9" w14:paraId="147FF14B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63A6" w14:textId="77777777" w:rsidR="00084E27" w:rsidRDefault="00084E27" w:rsidP="00574DAF">
            <w:pPr>
              <w:suppressAutoHyphens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 500 iki 2000 m</w:t>
            </w:r>
            <w:r w:rsidRPr="00617BB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DBD23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956C" w14:textId="77777777" w:rsidR="00084E27" w:rsidRPr="00A3113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A226F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B9C4" w14:textId="77777777" w:rsidR="00084E27" w:rsidRPr="00A3113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BF2" w14:textId="77777777" w:rsidR="00084E27" w:rsidRPr="009216BC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B35C78">
              <w:rPr>
                <w:sz w:val="20"/>
                <w:szCs w:val="20"/>
              </w:rPr>
              <w:t>-</w:t>
            </w:r>
          </w:p>
        </w:tc>
      </w:tr>
      <w:tr w:rsidR="00084E27" w:rsidRPr="000250C9" w14:paraId="7493FEDF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7D93" w14:textId="77777777" w:rsidR="00084E27" w:rsidRDefault="00084E27" w:rsidP="00574DAF">
            <w:pPr>
              <w:suppressAutoHyphens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virš 2000 m</w:t>
            </w:r>
            <w:r w:rsidRPr="00617BB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63423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0459" w14:textId="77777777" w:rsidR="00084E27" w:rsidRPr="00A3113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297CE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B2FE" w14:textId="77777777" w:rsidR="00084E27" w:rsidRPr="00A3113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 w:rsidRPr="00A31137">
              <w:rPr>
                <w:sz w:val="20"/>
                <w:szCs w:val="20"/>
              </w:rPr>
              <w:t xml:space="preserve">EUR/1 </w:t>
            </w:r>
            <w:proofErr w:type="spellStart"/>
            <w:r w:rsidRPr="00A31137">
              <w:rPr>
                <w:sz w:val="20"/>
                <w:szCs w:val="20"/>
              </w:rPr>
              <w:t>objekt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F8A" w14:textId="77777777" w:rsidR="00084E27" w:rsidRPr="009216BC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 w:rsidRPr="00B35C78">
              <w:rPr>
                <w:sz w:val="20"/>
                <w:szCs w:val="20"/>
              </w:rPr>
              <w:t>-</w:t>
            </w:r>
          </w:p>
        </w:tc>
      </w:tr>
      <w:tr w:rsidR="00084E27" w:rsidRPr="000250C9" w14:paraId="56FA06F2" w14:textId="77777777" w:rsidTr="00574DAF">
        <w:trPr>
          <w:trHeight w:val="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A4A0" w14:textId="77777777" w:rsidR="00084E27" w:rsidRDefault="00084E27" w:rsidP="00574D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 neįvardinti objektai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97275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AE5F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6515F" w14:textId="77777777" w:rsidR="00084E27" w:rsidRDefault="00084E27" w:rsidP="00574DAF">
            <w:pPr>
              <w:suppressAutoHyphens/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81B5" w14:textId="77777777" w:rsidR="00084E27" w:rsidRDefault="00084E27" w:rsidP="00574DAF">
            <w:pPr>
              <w:suppressAutoHyphens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EUR/10 m</w:t>
            </w:r>
            <w:r w:rsidRPr="001A79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A837" w14:textId="77777777" w:rsidR="00084E27" w:rsidRPr="009216BC" w:rsidRDefault="00084E27" w:rsidP="00574DAF">
            <w:pPr>
              <w:suppressAutoHyphens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  <w:r w:rsidRPr="009216BC">
              <w:rPr>
                <w:sz w:val="20"/>
                <w:szCs w:val="20"/>
              </w:rPr>
              <w:t>%</w:t>
            </w:r>
          </w:p>
        </w:tc>
      </w:tr>
    </w:tbl>
    <w:p w14:paraId="50E94644" w14:textId="77777777" w:rsidR="00084E27" w:rsidRDefault="00084E27" w:rsidP="00084E27">
      <w:pPr>
        <w:rPr>
          <w:rFonts w:eastAsia="Times New Roman"/>
          <w:lang w:eastAsia="lt-LT"/>
        </w:rPr>
      </w:pPr>
    </w:p>
    <w:p w14:paraId="20396E47" w14:textId="77777777" w:rsidR="00084E27" w:rsidRDefault="00084E27" w:rsidP="00084E27">
      <w:pPr>
        <w:rPr>
          <w:rFonts w:eastAsia="Times New Roman"/>
          <w:lang w:eastAsia="lt-LT"/>
        </w:rPr>
      </w:pPr>
      <w:r w:rsidRPr="00B45CF5">
        <w:rPr>
          <w:rFonts w:eastAsia="Times New Roman"/>
          <w:lang w:eastAsia="lt-LT"/>
        </w:rPr>
        <w:t>202</w:t>
      </w:r>
      <w:r>
        <w:rPr>
          <w:rFonts w:eastAsia="Times New Roman"/>
          <w:lang w:eastAsia="lt-LT"/>
        </w:rPr>
        <w:t>5</w:t>
      </w:r>
      <w:r w:rsidRPr="00B45CF5">
        <w:rPr>
          <w:rFonts w:eastAsia="Times New Roman"/>
          <w:lang w:eastAsia="lt-LT"/>
        </w:rPr>
        <w:t xml:space="preserve"> m</w:t>
      </w:r>
      <w:r>
        <w:rPr>
          <w:rFonts w:eastAsia="Times New Roman"/>
          <w:lang w:eastAsia="lt-LT"/>
        </w:rPr>
        <w:t>.</w:t>
      </w:r>
      <w:r w:rsidRPr="00B45CF5">
        <w:rPr>
          <w:rFonts w:eastAsia="Times New Roman"/>
          <w:lang w:eastAsia="lt-LT"/>
        </w:rPr>
        <w:t xml:space="preserve"> </w:t>
      </w:r>
      <w:r>
        <w:rPr>
          <w:rFonts w:eastAsia="Times New Roman"/>
          <w:lang w:eastAsia="lt-LT"/>
        </w:rPr>
        <w:t>paskaičiuotos individualių konteinerių ištuštinimo kainos</w:t>
      </w:r>
    </w:p>
    <w:tbl>
      <w:tblPr>
        <w:tblW w:w="9098" w:type="dxa"/>
        <w:tblInd w:w="-5" w:type="dxa"/>
        <w:tblLook w:val="04A0" w:firstRow="1" w:lastRow="0" w:firstColumn="1" w:lastColumn="0" w:noHBand="0" w:noVBand="1"/>
      </w:tblPr>
      <w:tblGrid>
        <w:gridCol w:w="4395"/>
        <w:gridCol w:w="990"/>
        <w:gridCol w:w="2263"/>
        <w:gridCol w:w="1450"/>
      </w:tblGrid>
      <w:tr w:rsidR="00084E27" w:rsidRPr="008116A6" w14:paraId="618C63A0" w14:textId="77777777" w:rsidTr="00574DAF">
        <w:trPr>
          <w:trHeight w:val="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6FE2" w14:textId="77777777" w:rsidR="00084E27" w:rsidRPr="00E843B5" w:rsidRDefault="00084E27" w:rsidP="00574DA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</w:rPr>
              <w:t>Konteineris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25FE" w14:textId="77777777" w:rsidR="00084E27" w:rsidRDefault="00084E27" w:rsidP="00574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Konteinerio ištuštinimo kaina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4288" w14:textId="77777777" w:rsidR="00084E27" w:rsidRDefault="00084E27" w:rsidP="00574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Pokytis palyginus su galiojančiomis kainomis</w:t>
            </w:r>
          </w:p>
        </w:tc>
      </w:tr>
      <w:tr w:rsidR="00084E27" w:rsidRPr="00C45A98" w14:paraId="6F9AFA27" w14:textId="77777777" w:rsidTr="00574DAF">
        <w:trPr>
          <w:trHeight w:val="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D3A7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 w:rsidRPr="00041840">
              <w:rPr>
                <w:bCs/>
                <w:sz w:val="20"/>
                <w:lang w:eastAsia="lt-LT"/>
              </w:rPr>
              <w:t>120 l talpos konteineriai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82A867" w14:textId="77777777" w:rsidR="00084E27" w:rsidRDefault="00084E27" w:rsidP="00574D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1,91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3F1F" w14:textId="77777777" w:rsidR="00084E27" w:rsidRDefault="00084E27" w:rsidP="00574DAF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981F1" w14:textId="77777777" w:rsidR="00084E27" w:rsidRDefault="00084E27" w:rsidP="00574DAF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75,2%</w:t>
            </w:r>
          </w:p>
        </w:tc>
      </w:tr>
      <w:tr w:rsidR="00084E27" w:rsidRPr="00C45A98" w14:paraId="33905ED6" w14:textId="77777777" w:rsidTr="00574DAF">
        <w:trPr>
          <w:trHeight w:val="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90D2" w14:textId="77777777" w:rsidR="00084E27" w:rsidRPr="00041840" w:rsidRDefault="00084E27" w:rsidP="00574DAF">
            <w:pPr>
              <w:rPr>
                <w:bCs/>
                <w:sz w:val="20"/>
                <w:lang w:eastAsia="lt-LT"/>
              </w:rPr>
            </w:pPr>
            <w:r w:rsidRPr="008D7BCA">
              <w:rPr>
                <w:bCs/>
                <w:sz w:val="20"/>
                <w:lang w:eastAsia="lt-LT"/>
              </w:rPr>
              <w:t>140 l talpos konteineriai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6F9C6F" w14:textId="77777777" w:rsidR="00084E27" w:rsidRDefault="00084E27" w:rsidP="00574D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2,23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77D" w14:textId="77777777" w:rsidR="00084E27" w:rsidRDefault="00084E27" w:rsidP="00574DAF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4C619" w14:textId="77777777" w:rsidR="00084E27" w:rsidRDefault="00084E27" w:rsidP="00574DAF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67,7%</w:t>
            </w:r>
          </w:p>
        </w:tc>
      </w:tr>
      <w:tr w:rsidR="00084E27" w:rsidRPr="00C45A98" w14:paraId="0FF05A8C" w14:textId="77777777" w:rsidTr="00574DAF">
        <w:trPr>
          <w:trHeight w:val="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0298" w14:textId="77777777" w:rsidR="00084E27" w:rsidRDefault="00084E27" w:rsidP="00574DAF">
            <w:pPr>
              <w:rPr>
                <w:bCs/>
                <w:sz w:val="20"/>
                <w:lang w:eastAsia="lt-LT"/>
              </w:rPr>
            </w:pPr>
            <w:r w:rsidRPr="00041840">
              <w:rPr>
                <w:bCs/>
                <w:sz w:val="20"/>
                <w:lang w:eastAsia="lt-LT"/>
              </w:rPr>
              <w:lastRenderedPageBreak/>
              <w:t>240 l talpos konteineriai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D76CAA" w14:textId="77777777" w:rsidR="00084E27" w:rsidRDefault="00084E27" w:rsidP="00574D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3,82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A1BB" w14:textId="77777777" w:rsidR="00084E27" w:rsidRDefault="00084E27" w:rsidP="00574DAF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952F4" w14:textId="77777777" w:rsidR="00084E27" w:rsidRDefault="00084E27" w:rsidP="00574DAF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75,2%</w:t>
            </w:r>
          </w:p>
        </w:tc>
      </w:tr>
      <w:tr w:rsidR="00084E27" w:rsidRPr="00C45A98" w14:paraId="1D6E7AB8" w14:textId="77777777" w:rsidTr="00574DAF">
        <w:trPr>
          <w:trHeight w:val="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62BC" w14:textId="77777777" w:rsidR="00084E27" w:rsidRPr="00041840" w:rsidRDefault="00084E27" w:rsidP="00574DAF">
            <w:pPr>
              <w:rPr>
                <w:bCs/>
                <w:sz w:val="20"/>
                <w:lang w:eastAsia="lt-LT"/>
              </w:rPr>
            </w:pPr>
            <w:r w:rsidRPr="00041840">
              <w:rPr>
                <w:bCs/>
                <w:sz w:val="20"/>
                <w:lang w:eastAsia="lt-LT"/>
              </w:rPr>
              <w:t>770 l talpos konteineriai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AE90C7" w14:textId="77777777" w:rsidR="00084E27" w:rsidRDefault="00084E27" w:rsidP="00574D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12,27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EAE6" w14:textId="77777777" w:rsidR="00084E27" w:rsidRDefault="00084E27" w:rsidP="00574DAF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453C5" w14:textId="77777777" w:rsidR="00084E27" w:rsidRDefault="00084E27" w:rsidP="00574DAF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74,8%</w:t>
            </w:r>
          </w:p>
        </w:tc>
      </w:tr>
      <w:tr w:rsidR="00084E27" w:rsidRPr="00C45A98" w14:paraId="6BC1FDE1" w14:textId="77777777" w:rsidTr="00574DAF">
        <w:trPr>
          <w:trHeight w:val="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A9A1" w14:textId="77777777" w:rsidR="00084E27" w:rsidRPr="00041840" w:rsidRDefault="00084E27" w:rsidP="00574DAF">
            <w:pPr>
              <w:rPr>
                <w:bCs/>
                <w:sz w:val="20"/>
                <w:lang w:eastAsia="lt-LT"/>
              </w:rPr>
            </w:pPr>
            <w:r w:rsidRPr="00041840">
              <w:rPr>
                <w:bCs/>
                <w:sz w:val="20"/>
                <w:lang w:eastAsia="lt-LT"/>
              </w:rPr>
              <w:t>1100 l talpos konteineriai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865597" w14:textId="77777777" w:rsidR="00084E27" w:rsidRDefault="00084E27" w:rsidP="00574D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17,54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3BFF" w14:textId="77777777" w:rsidR="00084E27" w:rsidRDefault="00084E27" w:rsidP="00574DAF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0A40A" w14:textId="77777777" w:rsidR="00084E27" w:rsidRDefault="00084E27" w:rsidP="00574DAF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74,9%</w:t>
            </w:r>
          </w:p>
        </w:tc>
      </w:tr>
    </w:tbl>
    <w:p w14:paraId="0BC0C990" w14:textId="77777777" w:rsidR="00084E27" w:rsidRDefault="00084E27" w:rsidP="00084E27"/>
    <w:p w14:paraId="13CEC8D7" w14:textId="77777777" w:rsidR="00084E27" w:rsidRDefault="00084E27" w:rsidP="00084E27"/>
    <w:p w14:paraId="173F2B70" w14:textId="77777777" w:rsidR="00084E27" w:rsidRDefault="00084E27" w:rsidP="00084E27"/>
    <w:p w14:paraId="4F1B59D3" w14:textId="77777777" w:rsidR="00084E27" w:rsidRDefault="00084E27" w:rsidP="00084E27"/>
    <w:p w14:paraId="48002F8D" w14:textId="77777777" w:rsidR="00084E27" w:rsidRPr="00084E27" w:rsidRDefault="00084E27" w:rsidP="00084E27"/>
    <w:sectPr w:rsidR="00084E27" w:rsidRPr="00084E2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943EBF"/>
    <w:multiLevelType w:val="hybridMultilevel"/>
    <w:tmpl w:val="EA9E3AF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516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DA"/>
    <w:rsid w:val="000560DA"/>
    <w:rsid w:val="00084E27"/>
    <w:rsid w:val="000B3671"/>
    <w:rsid w:val="00330E58"/>
    <w:rsid w:val="00541216"/>
    <w:rsid w:val="005771F6"/>
    <w:rsid w:val="00685731"/>
    <w:rsid w:val="006A4581"/>
    <w:rsid w:val="00B40727"/>
    <w:rsid w:val="00E4616A"/>
    <w:rsid w:val="00F3601E"/>
    <w:rsid w:val="00F5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53BF"/>
  <w15:chartTrackingRefBased/>
  <w15:docId w15:val="{430BF3D3-7FE0-4EC6-8FCE-89F4B17A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60DA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56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56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56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56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56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560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560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560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560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56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56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56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560D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560D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560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560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560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560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560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56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56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56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56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560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560D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560D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56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560D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560DA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4E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4E2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4E27"/>
    <w:rPr>
      <w:rFonts w:ascii="Times New Roman" w:hAnsi="Times New Roman" w:cs="Times New Roman"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8027</Words>
  <Characters>4576</Characters>
  <Application>Microsoft Office Word</Application>
  <DocSecurity>0</DocSecurity>
  <Lines>38</Lines>
  <Paragraphs>25</Paragraphs>
  <ScaleCrop>false</ScaleCrop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Rimantė Gailienė</dc:creator>
  <cp:keywords/>
  <dc:description/>
  <cp:lastModifiedBy>dovile.dackauskaite@jurbarkas.lt</cp:lastModifiedBy>
  <cp:revision>2</cp:revision>
  <dcterms:created xsi:type="dcterms:W3CDTF">2024-12-05T07:37:00Z</dcterms:created>
  <dcterms:modified xsi:type="dcterms:W3CDTF">2024-12-05T07:37:00Z</dcterms:modified>
</cp:coreProperties>
</file>