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DDC11" w14:textId="77777777" w:rsidR="00FC1CD3" w:rsidRDefault="00F320CA" w:rsidP="00F320CA">
      <w:pPr>
        <w:jc w:val="right"/>
        <w:rPr>
          <w:lang w:val="en-US"/>
        </w:rPr>
      </w:pPr>
      <w:r>
        <w:t>Projektas</w:t>
      </w:r>
    </w:p>
    <w:p w14:paraId="138035FF" w14:textId="77777777" w:rsidR="00FC1CD3" w:rsidRDefault="00F20019">
      <w:pPr>
        <w:jc w:val="center"/>
        <w:rPr>
          <w:b/>
        </w:rPr>
      </w:pPr>
      <w:r>
        <w:rPr>
          <w:b/>
          <w:lang w:val="en-US"/>
        </w:rPr>
        <w:t xml:space="preserve">JURBARKO RAJONO </w:t>
      </w:r>
      <w:r>
        <w:rPr>
          <w:b/>
        </w:rPr>
        <w:t>SAVIVALDYBĖS TARYBA</w:t>
      </w:r>
    </w:p>
    <w:p w14:paraId="38A4257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F90C9D7" w14:textId="77777777">
        <w:trPr>
          <w:cantSplit/>
        </w:trPr>
        <w:tc>
          <w:tcPr>
            <w:tcW w:w="9654" w:type="dxa"/>
            <w:tcBorders>
              <w:top w:val="nil"/>
              <w:left w:val="nil"/>
              <w:bottom w:val="nil"/>
              <w:right w:val="nil"/>
            </w:tcBorders>
          </w:tcPr>
          <w:p w14:paraId="0C3F32E9" w14:textId="77777777" w:rsidR="00FC1CD3" w:rsidRDefault="00F20019">
            <w:pPr>
              <w:pStyle w:val="Antrat1"/>
              <w:rPr>
                <w:caps/>
                <w:szCs w:val="24"/>
                <w:lang w:val="lt-LT"/>
              </w:rPr>
            </w:pPr>
            <w:r>
              <w:rPr>
                <w:szCs w:val="24"/>
                <w:lang w:val="lt-LT"/>
              </w:rPr>
              <w:t>SPRENDIMAS</w:t>
            </w:r>
          </w:p>
        </w:tc>
      </w:tr>
      <w:tr w:rsidR="00FC1CD3" w14:paraId="24B513C7" w14:textId="77777777">
        <w:trPr>
          <w:cantSplit/>
        </w:trPr>
        <w:tc>
          <w:tcPr>
            <w:tcW w:w="9654" w:type="dxa"/>
            <w:tcBorders>
              <w:top w:val="nil"/>
              <w:left w:val="nil"/>
              <w:bottom w:val="nil"/>
              <w:right w:val="nil"/>
            </w:tcBorders>
          </w:tcPr>
          <w:p w14:paraId="209C3BF6" w14:textId="77777777" w:rsidR="00FC1CD3" w:rsidRPr="00AE61D9" w:rsidRDefault="00C164DA">
            <w:pPr>
              <w:pStyle w:val="Antrats"/>
              <w:tabs>
                <w:tab w:val="left" w:pos="1296"/>
              </w:tabs>
              <w:jc w:val="center"/>
              <w:rPr>
                <w:b/>
                <w:caps/>
              </w:rPr>
            </w:pPr>
            <w:r w:rsidRPr="00C164DA">
              <w:rPr>
                <w:b/>
              </w:rPr>
              <w:t xml:space="preserve">DĖL JURBARKO RAJONO SAVIVALDYBĖS DAUGIABUČIŲ GYVENAMŲJŲ NAMŲ BENDROJO NAUDOJIMO OBJEKTŲ MAKSIMALIŲ ADMINISTRAVIMO MOKESČIO TARIFŲ APSKAIČIAVIMO TVARKOS APRAŠO PATVIRTINIMO </w:t>
            </w:r>
            <w:r w:rsidR="00CA4E8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A4E8C">
              <w:rPr>
                <w:b/>
              </w:rPr>
            </w:r>
            <w:r w:rsidR="00CA4E8C">
              <w:rPr>
                <w:b/>
              </w:rPr>
              <w:fldChar w:fldCharType="separate"/>
            </w:r>
            <w:r w:rsidR="00CA4E8C" w:rsidRPr="00AE61D9">
              <w:rPr>
                <w:b/>
              </w:rPr>
              <w:fldChar w:fldCharType="end"/>
            </w:r>
          </w:p>
        </w:tc>
      </w:tr>
      <w:tr w:rsidR="00FC1CD3" w14:paraId="7825EC62" w14:textId="77777777">
        <w:trPr>
          <w:cantSplit/>
        </w:trPr>
        <w:tc>
          <w:tcPr>
            <w:tcW w:w="9654" w:type="dxa"/>
            <w:tcBorders>
              <w:top w:val="nil"/>
              <w:left w:val="nil"/>
              <w:bottom w:val="nil"/>
              <w:right w:val="nil"/>
            </w:tcBorders>
          </w:tcPr>
          <w:p w14:paraId="51C470BD" w14:textId="77777777" w:rsidR="00FC1CD3" w:rsidRPr="00AE61D9" w:rsidRDefault="00FC1CD3">
            <w:pPr>
              <w:pStyle w:val="Antrats"/>
              <w:tabs>
                <w:tab w:val="left" w:pos="1296"/>
              </w:tabs>
              <w:jc w:val="center"/>
              <w:rPr>
                <w:b/>
                <w:caps/>
              </w:rPr>
            </w:pPr>
          </w:p>
        </w:tc>
      </w:tr>
      <w:tr w:rsidR="00FC1CD3" w14:paraId="7528DE57" w14:textId="77777777" w:rsidTr="00BA627E">
        <w:trPr>
          <w:cantSplit/>
          <w:trHeight w:val="359"/>
        </w:trPr>
        <w:tc>
          <w:tcPr>
            <w:tcW w:w="9654" w:type="dxa"/>
            <w:tcBorders>
              <w:top w:val="nil"/>
              <w:left w:val="nil"/>
              <w:bottom w:val="nil"/>
              <w:right w:val="nil"/>
            </w:tcBorders>
          </w:tcPr>
          <w:p w14:paraId="61EA50C1" w14:textId="77777777" w:rsidR="00FC1CD3" w:rsidRPr="00AE61D9" w:rsidRDefault="00CA4E8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1CB4015C" w14:textId="77777777">
        <w:trPr>
          <w:cantSplit/>
        </w:trPr>
        <w:tc>
          <w:tcPr>
            <w:tcW w:w="9654" w:type="dxa"/>
            <w:tcBorders>
              <w:top w:val="nil"/>
              <w:left w:val="nil"/>
              <w:bottom w:val="nil"/>
              <w:right w:val="nil"/>
            </w:tcBorders>
          </w:tcPr>
          <w:p w14:paraId="3BE6B4D4" w14:textId="77777777" w:rsidR="00FC1CD3" w:rsidRDefault="00F20019">
            <w:pPr>
              <w:jc w:val="center"/>
            </w:pPr>
            <w:r>
              <w:t>Jurbarkas</w:t>
            </w:r>
          </w:p>
        </w:tc>
      </w:tr>
    </w:tbl>
    <w:p w14:paraId="40A4DFD1" w14:textId="77777777" w:rsidR="00FC1CD3" w:rsidRDefault="00FC1CD3">
      <w:pPr>
        <w:jc w:val="both"/>
      </w:pPr>
    </w:p>
    <w:p w14:paraId="102B3403" w14:textId="77777777" w:rsidR="00A06420" w:rsidRDefault="009C3A3F" w:rsidP="00A06420">
      <w:pPr>
        <w:widowControl w:val="0"/>
        <w:tabs>
          <w:tab w:val="left" w:pos="1293"/>
        </w:tabs>
        <w:overflowPunct w:val="0"/>
        <w:ind w:firstLine="851"/>
        <w:jc w:val="both"/>
        <w:textAlignment w:val="baseline"/>
        <w:rPr>
          <w:color w:val="000000"/>
          <w:szCs w:val="24"/>
        </w:rPr>
      </w:pPr>
      <w:r w:rsidRPr="009C3A3F">
        <w:rPr>
          <w:color w:val="000000"/>
          <w:szCs w:val="24"/>
        </w:rPr>
        <w:t xml:space="preserve">Vadovaudamasi </w:t>
      </w:r>
      <w:r w:rsidR="00661D3C" w:rsidRPr="00661D3C">
        <w:rPr>
          <w:color w:val="000000"/>
          <w:szCs w:val="24"/>
        </w:rPr>
        <w:t>Lietuvos Respublikos vietos savivaldos įstatymo 15 straipsnio 4 dalimi, 16 straipsnio 1 dalimi,</w:t>
      </w:r>
      <w:r w:rsidR="00661D3C">
        <w:rPr>
          <w:color w:val="000000"/>
          <w:szCs w:val="24"/>
        </w:rPr>
        <w:t xml:space="preserve"> </w:t>
      </w:r>
      <w:r w:rsidRPr="009C3A3F">
        <w:rPr>
          <w:color w:val="000000"/>
          <w:szCs w:val="24"/>
        </w:rPr>
        <w:t>Lietuvos Respublikos civilinio kodekso 4.84 straipsnio 9 dalimi, Daugiabučio namo bendrojo naudojimo objektų administravimo nuostatų, patvirtintų Lietuvos Respublikos Vyriausybės 2001 m. gegužės 23 d. nutarimu Nr. 603 „Dėl Daugiabučio namo bendrojo naudojimo objektų administravimo nuostatų patvirtinimo“, 8.1 papunkčiu ir Bendrojo naudojimo objektų administratoriaus atrankos ir skyrimo tvarkos aprašo, patvirtinto Lietuvos Respublikos Vyriausybės 2013 m. birželio 20 d. nutarimu Nr. 567 „Dėl Bendrojo naudojimo objektų administratoriaus atrankos ir skyrimo tvarkos aprašo patvirtinimo“, 5 punktu bei 11.3 papunkčiu</w:t>
      </w:r>
      <w:r>
        <w:rPr>
          <w:color w:val="000000"/>
          <w:szCs w:val="24"/>
        </w:rPr>
        <w:t xml:space="preserve">, </w:t>
      </w:r>
      <w:r w:rsidR="00A06420">
        <w:rPr>
          <w:color w:val="000000"/>
          <w:szCs w:val="24"/>
        </w:rPr>
        <w:t>Jurbarko rajono savivaldybės taryba  n u s p r e n d ž i a:</w:t>
      </w:r>
    </w:p>
    <w:p w14:paraId="64771DD2" w14:textId="77777777" w:rsidR="00A06420" w:rsidRDefault="00A06420" w:rsidP="00A06420">
      <w:pPr>
        <w:widowControl w:val="0"/>
        <w:tabs>
          <w:tab w:val="left" w:pos="1293"/>
        </w:tabs>
        <w:overflowPunct w:val="0"/>
        <w:ind w:firstLine="851"/>
        <w:jc w:val="both"/>
        <w:textAlignment w:val="baseline"/>
        <w:rPr>
          <w:color w:val="000000"/>
          <w:szCs w:val="24"/>
        </w:rPr>
      </w:pPr>
      <w:r>
        <w:rPr>
          <w:color w:val="000000"/>
          <w:szCs w:val="24"/>
        </w:rPr>
        <w:t xml:space="preserve">1. Patvirtinti </w:t>
      </w:r>
      <w:r w:rsidR="00C164DA" w:rsidRPr="00C164DA">
        <w:rPr>
          <w:color w:val="000000"/>
          <w:szCs w:val="24"/>
        </w:rPr>
        <w:t xml:space="preserve">Jurbarko rajono savivaldybės daugiabučių gyvenamųjų namų bendrojo naudojimo objektų maksimalių administravimo mokesčio tarifų apskaičiavimo tvarkos aprašą  </w:t>
      </w:r>
      <w:r>
        <w:rPr>
          <w:color w:val="000000"/>
          <w:szCs w:val="24"/>
        </w:rPr>
        <w:t>(pridedama)</w:t>
      </w:r>
      <w:r w:rsidR="004A70D1">
        <w:rPr>
          <w:color w:val="000000"/>
          <w:szCs w:val="24"/>
        </w:rPr>
        <w:t>.</w:t>
      </w:r>
    </w:p>
    <w:p w14:paraId="48BFED1C" w14:textId="77777777" w:rsidR="00146978" w:rsidRPr="00146978" w:rsidRDefault="0087219E" w:rsidP="00146978">
      <w:pPr>
        <w:widowControl w:val="0"/>
        <w:tabs>
          <w:tab w:val="left" w:pos="1293"/>
        </w:tabs>
        <w:overflowPunct w:val="0"/>
        <w:ind w:firstLine="851"/>
        <w:jc w:val="both"/>
        <w:textAlignment w:val="baseline"/>
        <w:rPr>
          <w:color w:val="000000"/>
          <w:szCs w:val="24"/>
        </w:rPr>
      </w:pPr>
      <w:r>
        <w:rPr>
          <w:color w:val="000000"/>
          <w:szCs w:val="24"/>
        </w:rPr>
        <w:t xml:space="preserve">2. </w:t>
      </w:r>
      <w:r w:rsidR="00146978" w:rsidRPr="00146978">
        <w:rPr>
          <w:color w:val="000000"/>
          <w:szCs w:val="24"/>
        </w:rPr>
        <w:t>Nustatyti, kad asmens, pretenduojančio teikti bendrojo naudojimo objektų administravimo paslaugas, nurodytas administravimo mokesčio tarifas negali viršyti 1 punktu patvirtinto tvarkos aprašo nustatyta tvarka apskaičiuoto namo maksimalaus administravimo mokesčio tarifo (be pridėtinės vertės mokesčio) per mėnesį už 1 kv. m naudingojo ploto:</w:t>
      </w:r>
    </w:p>
    <w:p w14:paraId="05F833A0" w14:textId="77777777" w:rsidR="00146978" w:rsidRPr="00256315" w:rsidRDefault="00146978" w:rsidP="00146978">
      <w:pPr>
        <w:widowControl w:val="0"/>
        <w:tabs>
          <w:tab w:val="left" w:pos="1293"/>
        </w:tabs>
        <w:overflowPunct w:val="0"/>
        <w:ind w:firstLine="851"/>
        <w:jc w:val="both"/>
        <w:textAlignment w:val="baseline"/>
        <w:rPr>
          <w:color w:val="000000"/>
          <w:szCs w:val="24"/>
        </w:rPr>
      </w:pPr>
      <w:r w:rsidRPr="00146978">
        <w:rPr>
          <w:color w:val="000000"/>
          <w:szCs w:val="24"/>
        </w:rPr>
        <w:t xml:space="preserve">2.1. daugiabučių namų, kurių plotas iki 1 000 kv. m, – </w:t>
      </w:r>
      <w:r w:rsidR="00C1232F" w:rsidRPr="00256315">
        <w:rPr>
          <w:szCs w:val="24"/>
        </w:rPr>
        <w:t xml:space="preserve">0,1068 </w:t>
      </w:r>
      <w:r w:rsidRPr="00256315">
        <w:rPr>
          <w:color w:val="000000"/>
          <w:szCs w:val="24"/>
        </w:rPr>
        <w:t>Eur;</w:t>
      </w:r>
    </w:p>
    <w:p w14:paraId="1DE13C8C" w14:textId="77777777" w:rsidR="00146978" w:rsidRPr="00256315" w:rsidRDefault="00146978" w:rsidP="00146978">
      <w:pPr>
        <w:widowControl w:val="0"/>
        <w:tabs>
          <w:tab w:val="left" w:pos="1293"/>
        </w:tabs>
        <w:overflowPunct w:val="0"/>
        <w:ind w:firstLine="851"/>
        <w:jc w:val="both"/>
        <w:textAlignment w:val="baseline"/>
        <w:rPr>
          <w:color w:val="000000"/>
          <w:szCs w:val="24"/>
        </w:rPr>
      </w:pPr>
      <w:r w:rsidRPr="00256315">
        <w:rPr>
          <w:color w:val="000000"/>
          <w:szCs w:val="24"/>
        </w:rPr>
        <w:t xml:space="preserve">2.2. daugiabučių namų, kurių plotas nuo 1 000 iki 3 000 kv. m, – </w:t>
      </w:r>
      <w:r w:rsidR="00C1232F" w:rsidRPr="00256315">
        <w:rPr>
          <w:szCs w:val="24"/>
        </w:rPr>
        <w:t xml:space="preserve">0,0921 </w:t>
      </w:r>
      <w:r w:rsidRPr="00256315">
        <w:rPr>
          <w:color w:val="000000"/>
          <w:szCs w:val="24"/>
        </w:rPr>
        <w:t>Eur;</w:t>
      </w:r>
    </w:p>
    <w:p w14:paraId="64DC7BE8" w14:textId="77777777" w:rsidR="00146978" w:rsidRPr="00146978" w:rsidRDefault="00146978" w:rsidP="00146978">
      <w:pPr>
        <w:widowControl w:val="0"/>
        <w:tabs>
          <w:tab w:val="left" w:pos="1293"/>
        </w:tabs>
        <w:overflowPunct w:val="0"/>
        <w:ind w:firstLine="851"/>
        <w:jc w:val="both"/>
        <w:textAlignment w:val="baseline"/>
        <w:rPr>
          <w:color w:val="000000"/>
          <w:szCs w:val="24"/>
        </w:rPr>
      </w:pPr>
      <w:r w:rsidRPr="00256315">
        <w:rPr>
          <w:color w:val="000000"/>
          <w:szCs w:val="24"/>
        </w:rPr>
        <w:t xml:space="preserve">2.3. daugiabučių namų, kurių plotas didesnis kaip 3 000 kv. m, – </w:t>
      </w:r>
      <w:r w:rsidR="00C1232F" w:rsidRPr="00256315">
        <w:rPr>
          <w:szCs w:val="24"/>
        </w:rPr>
        <w:t>0,0700</w:t>
      </w:r>
      <w:r w:rsidR="00C1232F">
        <w:rPr>
          <w:szCs w:val="24"/>
        </w:rPr>
        <w:t xml:space="preserve"> </w:t>
      </w:r>
      <w:r w:rsidRPr="00146978">
        <w:rPr>
          <w:color w:val="000000"/>
          <w:szCs w:val="24"/>
        </w:rPr>
        <w:t>Eur.</w:t>
      </w:r>
    </w:p>
    <w:p w14:paraId="798A6432" w14:textId="77777777" w:rsidR="008B3226" w:rsidRDefault="0087219E" w:rsidP="00A06420">
      <w:pPr>
        <w:widowControl w:val="0"/>
        <w:tabs>
          <w:tab w:val="left" w:pos="1293"/>
        </w:tabs>
        <w:overflowPunct w:val="0"/>
        <w:ind w:firstLine="851"/>
        <w:jc w:val="both"/>
        <w:textAlignment w:val="baseline"/>
        <w:rPr>
          <w:color w:val="000000"/>
          <w:szCs w:val="24"/>
        </w:rPr>
      </w:pPr>
      <w:r>
        <w:rPr>
          <w:color w:val="000000"/>
          <w:szCs w:val="24"/>
        </w:rPr>
        <w:t>3</w:t>
      </w:r>
      <w:r w:rsidR="004A70D1">
        <w:rPr>
          <w:color w:val="000000"/>
          <w:szCs w:val="24"/>
        </w:rPr>
        <w:t>.  Pripažinti netekusiu galios</w:t>
      </w:r>
      <w:r w:rsidR="008B3226">
        <w:rPr>
          <w:color w:val="000000"/>
          <w:szCs w:val="24"/>
        </w:rPr>
        <w:t>:</w:t>
      </w:r>
    </w:p>
    <w:p w14:paraId="4D32C81A" w14:textId="77777777" w:rsidR="004A70D1" w:rsidRDefault="008B3226" w:rsidP="00A06420">
      <w:pPr>
        <w:widowControl w:val="0"/>
        <w:tabs>
          <w:tab w:val="left" w:pos="1293"/>
        </w:tabs>
        <w:overflowPunct w:val="0"/>
        <w:ind w:firstLine="851"/>
        <w:jc w:val="both"/>
        <w:textAlignment w:val="baseline"/>
        <w:rPr>
          <w:color w:val="000000"/>
          <w:szCs w:val="24"/>
        </w:rPr>
      </w:pPr>
      <w:r>
        <w:rPr>
          <w:color w:val="000000"/>
          <w:szCs w:val="24"/>
        </w:rPr>
        <w:t>3.1.</w:t>
      </w:r>
      <w:r w:rsidR="004A70D1">
        <w:rPr>
          <w:color w:val="000000"/>
          <w:szCs w:val="24"/>
        </w:rPr>
        <w:t xml:space="preserve"> </w:t>
      </w:r>
      <w:r w:rsidR="004A70D1" w:rsidRPr="004A70D1">
        <w:rPr>
          <w:color w:val="000000"/>
          <w:szCs w:val="24"/>
        </w:rPr>
        <w:t>Jurbarko rajono savivaldybės tarybos 2016 m. birželio 30 d. sprendim</w:t>
      </w:r>
      <w:r w:rsidR="004A70D1">
        <w:rPr>
          <w:color w:val="000000"/>
          <w:szCs w:val="24"/>
        </w:rPr>
        <w:t>ą</w:t>
      </w:r>
      <w:r w:rsidR="004A70D1" w:rsidRPr="004A70D1">
        <w:rPr>
          <w:color w:val="000000"/>
          <w:szCs w:val="24"/>
        </w:rPr>
        <w:t xml:space="preserve"> Nr. T2-217 „Dėl Daugiabučių gyvenamųjų namų, esančių Jurbarko mieste, bendrojo naudojimo objektų maksimalaus administravimo mokesčio tarifo apskaičiavimo tvarkos aprašo patvirtinimo“</w:t>
      </w:r>
      <w:r>
        <w:rPr>
          <w:color w:val="000000"/>
          <w:szCs w:val="24"/>
        </w:rPr>
        <w:t>;</w:t>
      </w:r>
    </w:p>
    <w:p w14:paraId="303363B0" w14:textId="77777777" w:rsidR="008B3226" w:rsidRDefault="008B3226" w:rsidP="00A06420">
      <w:pPr>
        <w:widowControl w:val="0"/>
        <w:tabs>
          <w:tab w:val="left" w:pos="1293"/>
        </w:tabs>
        <w:overflowPunct w:val="0"/>
        <w:ind w:firstLine="851"/>
        <w:jc w:val="both"/>
        <w:textAlignment w:val="baseline"/>
        <w:rPr>
          <w:color w:val="000000"/>
          <w:szCs w:val="24"/>
        </w:rPr>
      </w:pPr>
      <w:r>
        <w:rPr>
          <w:color w:val="000000"/>
          <w:szCs w:val="24"/>
        </w:rPr>
        <w:t xml:space="preserve">3.2. </w:t>
      </w:r>
      <w:r w:rsidR="008E7D19" w:rsidRPr="008E7D19">
        <w:rPr>
          <w:color w:val="000000"/>
          <w:szCs w:val="24"/>
        </w:rPr>
        <w:t>Jurbarko rajono savivaldybės tarybos</w:t>
      </w:r>
      <w:r w:rsidR="008E7D19">
        <w:rPr>
          <w:color w:val="000000"/>
          <w:szCs w:val="24"/>
        </w:rPr>
        <w:t xml:space="preserve"> </w:t>
      </w:r>
      <w:r w:rsidR="00474315" w:rsidRPr="00474315">
        <w:rPr>
          <w:color w:val="000000"/>
          <w:szCs w:val="24"/>
        </w:rPr>
        <w:t xml:space="preserve">2016 m. liepos 12 d. </w:t>
      </w:r>
      <w:r w:rsidR="00B35EC1" w:rsidRPr="00B35EC1">
        <w:rPr>
          <w:color w:val="000000"/>
          <w:szCs w:val="24"/>
        </w:rPr>
        <w:t xml:space="preserve">sprendimą </w:t>
      </w:r>
      <w:r w:rsidR="00474315" w:rsidRPr="00474315">
        <w:rPr>
          <w:color w:val="000000"/>
          <w:szCs w:val="24"/>
        </w:rPr>
        <w:t>Nr. T2-223</w:t>
      </w:r>
      <w:r w:rsidR="00474315">
        <w:rPr>
          <w:color w:val="000000"/>
          <w:szCs w:val="24"/>
        </w:rPr>
        <w:t xml:space="preserve"> </w:t>
      </w:r>
      <w:r w:rsidR="00B35EC1">
        <w:rPr>
          <w:color w:val="000000"/>
          <w:szCs w:val="24"/>
        </w:rPr>
        <w:t>„D</w:t>
      </w:r>
      <w:r w:rsidR="00B35EC1" w:rsidRPr="00B35EC1">
        <w:rPr>
          <w:color w:val="000000"/>
          <w:szCs w:val="24"/>
        </w:rPr>
        <w:t xml:space="preserve">ėl daugiabučių gyvenamųjų namų, esančių </w:t>
      </w:r>
      <w:r w:rsidR="00B35EC1">
        <w:rPr>
          <w:color w:val="000000"/>
          <w:szCs w:val="24"/>
        </w:rPr>
        <w:t>J</w:t>
      </w:r>
      <w:r w:rsidR="00B35EC1" w:rsidRPr="00B35EC1">
        <w:rPr>
          <w:color w:val="000000"/>
          <w:szCs w:val="24"/>
        </w:rPr>
        <w:t>urbarko mieste, bendrojo naudojimo objektų maksimalaus administravimo mokesčio tarifo patvirtinimo“</w:t>
      </w:r>
      <w:r w:rsidR="00B35EC1">
        <w:rPr>
          <w:color w:val="000000"/>
          <w:szCs w:val="24"/>
        </w:rPr>
        <w:t>.</w:t>
      </w:r>
    </w:p>
    <w:p w14:paraId="3E843366" w14:textId="77777777" w:rsidR="00FC1CD3" w:rsidRDefault="00FC1CD3">
      <w:pPr>
        <w:jc w:val="both"/>
      </w:pPr>
    </w:p>
    <w:p w14:paraId="70B4AF70" w14:textId="77777777" w:rsidR="00661D3C" w:rsidRDefault="00661D3C">
      <w:pPr>
        <w:jc w:val="both"/>
      </w:pPr>
    </w:p>
    <w:tbl>
      <w:tblPr>
        <w:tblW w:w="0" w:type="auto"/>
        <w:tblInd w:w="108" w:type="dxa"/>
        <w:tblLook w:val="0000" w:firstRow="0" w:lastRow="0" w:firstColumn="0" w:lastColumn="0" w:noHBand="0" w:noVBand="0"/>
      </w:tblPr>
      <w:tblGrid>
        <w:gridCol w:w="4410"/>
        <w:gridCol w:w="4410"/>
      </w:tblGrid>
      <w:tr w:rsidR="00FC1CD3" w14:paraId="663DA413" w14:textId="77777777">
        <w:trPr>
          <w:trHeight w:val="180"/>
        </w:trPr>
        <w:tc>
          <w:tcPr>
            <w:tcW w:w="4410" w:type="dxa"/>
          </w:tcPr>
          <w:p w14:paraId="5EBB3E4B" w14:textId="77777777" w:rsidR="00FC1CD3" w:rsidRDefault="00F4316F">
            <w:r>
              <w:t>Savivaldybės meras</w:t>
            </w:r>
          </w:p>
        </w:tc>
        <w:tc>
          <w:tcPr>
            <w:tcW w:w="4410" w:type="dxa"/>
          </w:tcPr>
          <w:p w14:paraId="50519E95" w14:textId="77777777" w:rsidR="00FC1CD3" w:rsidRDefault="00FC1CD3">
            <w:pPr>
              <w:jc w:val="right"/>
            </w:pPr>
          </w:p>
        </w:tc>
      </w:tr>
    </w:tbl>
    <w:p w14:paraId="65CC66F5" w14:textId="77777777" w:rsidR="00FC1CD3" w:rsidRDefault="00FC1CD3"/>
    <w:p w14:paraId="6D96C115" w14:textId="77777777" w:rsidR="00F320CA" w:rsidRDefault="00F320CA">
      <w:r>
        <w:t xml:space="preserve">Vizos: </w:t>
      </w:r>
    </w:p>
    <w:p w14:paraId="4B7A3B0A" w14:textId="77777777" w:rsidR="005B1C72" w:rsidRDefault="005B1C72" w:rsidP="005B1C72">
      <w:r>
        <w:t xml:space="preserve">Administracijos direktorė R. </w:t>
      </w:r>
      <w:proofErr w:type="spellStart"/>
      <w:r>
        <w:t>Vančienė</w:t>
      </w:r>
      <w:proofErr w:type="spellEnd"/>
    </w:p>
    <w:p w14:paraId="2B37C494" w14:textId="77777777" w:rsidR="005B1C72" w:rsidRDefault="005B1C72" w:rsidP="005B1C72">
      <w:r>
        <w:t xml:space="preserve">Teisės ir civilinės metrikacijos skyriaus vedėja O. </w:t>
      </w:r>
      <w:proofErr w:type="spellStart"/>
      <w:r>
        <w:t>Sutkaitienė</w:t>
      </w:r>
      <w:proofErr w:type="spellEnd"/>
      <w:r>
        <w:t xml:space="preserve"> </w:t>
      </w:r>
    </w:p>
    <w:p w14:paraId="157D225B" w14:textId="77777777" w:rsidR="005B1C72" w:rsidRDefault="005B1C72" w:rsidP="005B1C72">
      <w:r>
        <w:t>Tarybos posėdžių sekretorė D. Dačkauskaitė</w:t>
      </w:r>
    </w:p>
    <w:p w14:paraId="7C9BC68F" w14:textId="77777777" w:rsidR="005B1C72" w:rsidRDefault="005B1C72" w:rsidP="005B1C72">
      <w:r>
        <w:t>Dokumentų ir viešųjų ryšių skyriaus vyr. specialistas A. Gvildys</w:t>
      </w:r>
    </w:p>
    <w:p w14:paraId="7F1D636B" w14:textId="77777777" w:rsidR="00F320CA" w:rsidRDefault="005B1C72" w:rsidP="005B1C72">
      <w:r>
        <w:t xml:space="preserve">Infrastruktūros ir turto skyriaus vedėja J. </w:t>
      </w:r>
      <w:proofErr w:type="spellStart"/>
      <w:r>
        <w:t>Šeflerienė</w:t>
      </w:r>
      <w:proofErr w:type="spellEnd"/>
    </w:p>
    <w:p w14:paraId="257BE94C" w14:textId="77777777" w:rsidR="00146978" w:rsidRDefault="00146978"/>
    <w:p w14:paraId="1DB1D1F7" w14:textId="77777777" w:rsidR="00646C0F" w:rsidRDefault="00646C0F"/>
    <w:p w14:paraId="49D0C3E7" w14:textId="77777777" w:rsidR="00F320CA" w:rsidRDefault="00F320CA" w:rsidP="00F320CA">
      <w:r>
        <w:t>Parengė</w:t>
      </w:r>
    </w:p>
    <w:bookmarkStart w:id="0" w:name="CREATOR_SHOWS"/>
    <w:p w14:paraId="68F84038" w14:textId="77777777" w:rsidR="00B3497C" w:rsidRDefault="00CA4E8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0"/>
      <w:r w:rsidR="00B3497C">
        <w:rPr>
          <w:lang w:eastAsia="de-DE"/>
        </w:rPr>
        <w:t xml:space="preserve">, tel. </w:t>
      </w:r>
      <w:bookmarkStart w:id="1"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1"/>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2"/>
    </w:p>
    <w:bookmarkStart w:id="3" w:name="NOW_DATE1"/>
    <w:p w14:paraId="16C4933E" w14:textId="77777777" w:rsidR="002E1F99" w:rsidRDefault="00CA4E8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3"/>
      <w:r w:rsidR="00F7723D">
        <w:t xml:space="preserve"> </w:t>
      </w:r>
    </w:p>
    <w:p w14:paraId="0E515E69" w14:textId="77777777" w:rsidR="002E1F99" w:rsidRDefault="002E1F99" w:rsidP="002E1F99">
      <w:pPr>
        <w:pStyle w:val="Pavadinimas"/>
        <w:jc w:val="left"/>
        <w:rPr>
          <w:b w:val="0"/>
        </w:rPr>
      </w:pPr>
    </w:p>
    <w:p w14:paraId="629F8E0D" w14:textId="77777777" w:rsidR="00B668F0" w:rsidRDefault="00B668F0" w:rsidP="00B668F0">
      <w:pPr>
        <w:pStyle w:val="Pavadinimas"/>
        <w:pBdr>
          <w:bottom w:val="single" w:sz="12" w:space="1" w:color="auto"/>
        </w:pBdr>
      </w:pPr>
      <w:r>
        <w:t>JURBARKO RAJONO SAVIVALDYBĖS ADMINISTRACIJOS</w:t>
      </w:r>
    </w:p>
    <w:p w14:paraId="1E19737F" w14:textId="77777777" w:rsidR="00B668F0" w:rsidRDefault="006A382A" w:rsidP="00B668F0">
      <w:pPr>
        <w:pStyle w:val="Pavadinimas"/>
        <w:pBdr>
          <w:bottom w:val="single" w:sz="12" w:space="1" w:color="auto"/>
        </w:pBdr>
      </w:pPr>
      <w:r>
        <w:t xml:space="preserve">INFRASTRUKTŪROS IR TURTO </w:t>
      </w:r>
      <w:r w:rsidR="00B668F0">
        <w:t>SKYRIUS</w:t>
      </w:r>
    </w:p>
    <w:p w14:paraId="5170A2C2" w14:textId="77777777" w:rsidR="002E1F99" w:rsidRDefault="002E1F99" w:rsidP="002E1F99">
      <w:pPr>
        <w:pStyle w:val="Paantrat"/>
      </w:pPr>
      <w:r>
        <w:t>AIŠKINAMASIS RAŠTAS</w:t>
      </w:r>
    </w:p>
    <w:p w14:paraId="6920BB39" w14:textId="77777777" w:rsidR="002E1F99" w:rsidRDefault="002E1F99" w:rsidP="002E1F99">
      <w:pPr>
        <w:jc w:val="center"/>
        <w:rPr>
          <w:caps/>
        </w:rPr>
      </w:pPr>
    </w:p>
    <w:p w14:paraId="27BB763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164DA" w:rsidRPr="00C164DA">
        <w:rPr>
          <w:b/>
        </w:rPr>
        <w:t>DĖL JURBARKO RAJONO SAVIVALDYBĖS DAUGIABUČIŲ GYVENAMŲJŲ NAMŲ BENDROJO NAUDOJIMO OBJEKTŲ MAKSIMALIŲ ADMINISTRAVIMO MOKESČIO TARIFŲ APSKAIČIAVIMO TVARKOS APRAŠO PATVIRTINIMO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DB3D7A7" w14:textId="77777777" w:rsidR="002E1F99" w:rsidRDefault="002E1F99" w:rsidP="002E1F99">
      <w:pPr>
        <w:tabs>
          <w:tab w:val="left" w:pos="567"/>
        </w:tabs>
        <w:jc w:val="center"/>
      </w:pPr>
    </w:p>
    <w:p w14:paraId="5765052C" w14:textId="77777777" w:rsidR="00001758" w:rsidRDefault="00CA4E8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59844B37" w14:textId="77777777" w:rsidR="002E1F99" w:rsidRDefault="002E1F99" w:rsidP="002E1F99">
      <w:pPr>
        <w:tabs>
          <w:tab w:val="left" w:pos="0"/>
        </w:tabs>
        <w:jc w:val="center"/>
      </w:pPr>
      <w:r>
        <w:t>Jurbarkas</w:t>
      </w:r>
    </w:p>
    <w:p w14:paraId="43465BD7" w14:textId="77777777" w:rsidR="002E1F99" w:rsidRDefault="002E1F99" w:rsidP="002E1F99">
      <w:pPr>
        <w:tabs>
          <w:tab w:val="left" w:pos="0"/>
        </w:tabs>
        <w:jc w:val="center"/>
      </w:pPr>
    </w:p>
    <w:tbl>
      <w:tblPr>
        <w:tblW w:w="9806" w:type="dxa"/>
        <w:tblLook w:val="0000" w:firstRow="0" w:lastRow="0" w:firstColumn="0" w:lastColumn="0" w:noHBand="0" w:noVBand="0"/>
      </w:tblPr>
      <w:tblGrid>
        <w:gridCol w:w="9806"/>
      </w:tblGrid>
      <w:tr w:rsidR="006A29E6" w14:paraId="5343786E" w14:textId="77777777" w:rsidTr="00184F89">
        <w:tc>
          <w:tcPr>
            <w:tcW w:w="9806" w:type="dxa"/>
          </w:tcPr>
          <w:p w14:paraId="7D3E1F4B" w14:textId="77777777" w:rsidR="006A29E6" w:rsidRDefault="006A29E6" w:rsidP="007371F4">
            <w:pPr>
              <w:tabs>
                <w:tab w:val="left" w:pos="0"/>
              </w:tabs>
              <w:rPr>
                <w:b/>
                <w:bCs/>
                <w:sz w:val="22"/>
              </w:rPr>
            </w:pPr>
            <w:r>
              <w:rPr>
                <w:b/>
                <w:bCs/>
                <w:i/>
                <w:iCs/>
                <w:sz w:val="22"/>
              </w:rPr>
              <w:t>1. Parengto projekto tikslai ir uždaviniai.</w:t>
            </w:r>
          </w:p>
        </w:tc>
      </w:tr>
      <w:tr w:rsidR="006A29E6" w14:paraId="09080BDF" w14:textId="77777777" w:rsidTr="00184F89">
        <w:tc>
          <w:tcPr>
            <w:tcW w:w="9806" w:type="dxa"/>
          </w:tcPr>
          <w:p w14:paraId="5E6FFB49" w14:textId="77777777" w:rsidR="006A29E6" w:rsidRDefault="006B0BF5" w:rsidP="007371F4">
            <w:pPr>
              <w:tabs>
                <w:tab w:val="left" w:pos="0"/>
              </w:tabs>
              <w:jc w:val="both"/>
              <w:rPr>
                <w:sz w:val="22"/>
              </w:rPr>
            </w:pPr>
            <w:r>
              <w:rPr>
                <w:sz w:val="22"/>
              </w:rPr>
              <w:t>S</w:t>
            </w:r>
            <w:r w:rsidRPr="006B0BF5">
              <w:rPr>
                <w:sz w:val="22"/>
              </w:rPr>
              <w:t>prendimo projekto tikslas –</w:t>
            </w:r>
            <w:r>
              <w:rPr>
                <w:sz w:val="22"/>
              </w:rPr>
              <w:t xml:space="preserve"> patvirtinti</w:t>
            </w:r>
            <w:r w:rsidR="009E7354">
              <w:rPr>
                <w:sz w:val="22"/>
              </w:rPr>
              <w:t xml:space="preserve"> </w:t>
            </w:r>
            <w:r>
              <w:rPr>
                <w:sz w:val="22"/>
              </w:rPr>
              <w:t>Jurbarko</w:t>
            </w:r>
            <w:r w:rsidRPr="006B0BF5">
              <w:rPr>
                <w:sz w:val="22"/>
              </w:rPr>
              <w:t xml:space="preserve"> rajono </w:t>
            </w:r>
            <w:r w:rsidR="00C164DA">
              <w:rPr>
                <w:sz w:val="22"/>
              </w:rPr>
              <w:t xml:space="preserve">savivaldybės </w:t>
            </w:r>
            <w:r w:rsidRPr="006B0BF5">
              <w:rPr>
                <w:sz w:val="22"/>
              </w:rPr>
              <w:t>daugiabučių gyvenamųjų namų bendrojo naudojimo objektų maksimalių administravimo mokesčio tarifų apskaičiavimo tvarkos aprašą (toliau – Aprašas) bei</w:t>
            </w:r>
            <w:r>
              <w:rPr>
                <w:sz w:val="22"/>
              </w:rPr>
              <w:t xml:space="preserve"> nustatyti pagal Aprašą </w:t>
            </w:r>
            <w:r w:rsidRPr="006B0BF5">
              <w:rPr>
                <w:sz w:val="22"/>
              </w:rPr>
              <w:t>apskaičiuoto namo maksimalaus administravimo mokesčio tarif</w:t>
            </w:r>
            <w:r w:rsidR="00396221">
              <w:rPr>
                <w:sz w:val="22"/>
              </w:rPr>
              <w:t>ą.</w:t>
            </w:r>
          </w:p>
        </w:tc>
      </w:tr>
      <w:tr w:rsidR="006A29E6" w14:paraId="0DC46D1B" w14:textId="77777777" w:rsidTr="00184F89">
        <w:tc>
          <w:tcPr>
            <w:tcW w:w="9806" w:type="dxa"/>
          </w:tcPr>
          <w:p w14:paraId="14BC102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3DAB2F4" w14:textId="77777777" w:rsidTr="00184F89">
        <w:tc>
          <w:tcPr>
            <w:tcW w:w="9806" w:type="dxa"/>
          </w:tcPr>
          <w:p w14:paraId="439A5C7B" w14:textId="77777777" w:rsidR="006A29E6" w:rsidRDefault="00396221" w:rsidP="007371F4">
            <w:pPr>
              <w:jc w:val="both"/>
              <w:rPr>
                <w:sz w:val="22"/>
              </w:rPr>
            </w:pPr>
            <w:r w:rsidRPr="00396221">
              <w:rPr>
                <w:sz w:val="22"/>
              </w:rPr>
              <w:t xml:space="preserve">Šiuo metu </w:t>
            </w:r>
            <w:r>
              <w:rPr>
                <w:sz w:val="22"/>
              </w:rPr>
              <w:t>Jurbarko</w:t>
            </w:r>
            <w:r w:rsidRPr="00396221">
              <w:rPr>
                <w:sz w:val="22"/>
              </w:rPr>
              <w:t xml:space="preserve"> </w:t>
            </w:r>
            <w:r>
              <w:rPr>
                <w:sz w:val="22"/>
              </w:rPr>
              <w:t xml:space="preserve">mieste </w:t>
            </w:r>
            <w:r w:rsidRPr="00396221">
              <w:rPr>
                <w:sz w:val="22"/>
              </w:rPr>
              <w:t>maksimalus bendrojo naudojimo objektų administravimo mokesčio tarifas (toliau – maksimalus tarifas) nustatomas vadovaujantis Jurbarko rajono savivaldybės tarybos 2016 m. birželio 30 d</w:t>
            </w:r>
            <w:r>
              <w:rPr>
                <w:sz w:val="22"/>
              </w:rPr>
              <w:t>.</w:t>
            </w:r>
            <w:r w:rsidRPr="00396221">
              <w:rPr>
                <w:sz w:val="22"/>
              </w:rPr>
              <w:t xml:space="preserve"> </w:t>
            </w:r>
            <w:r>
              <w:rPr>
                <w:sz w:val="22"/>
              </w:rPr>
              <w:t>s</w:t>
            </w:r>
            <w:r w:rsidRPr="00396221">
              <w:rPr>
                <w:sz w:val="22"/>
              </w:rPr>
              <w:t xml:space="preserve">prendimu Nr. </w:t>
            </w:r>
            <w:r>
              <w:rPr>
                <w:sz w:val="22"/>
              </w:rPr>
              <w:t>T2-217</w:t>
            </w:r>
            <w:r w:rsidRPr="00396221">
              <w:rPr>
                <w:sz w:val="22"/>
              </w:rPr>
              <w:t xml:space="preserve"> „Dėl Daugiabučių gyvenamųjų namų, esančių Jurbarko mieste, bendrojo naudojimo objektų maksimalaus administravimo mokesčio tarifo apskaičiavimo tvarkos aprašo patvirtinimo“</w:t>
            </w:r>
            <w:r>
              <w:rPr>
                <w:sz w:val="22"/>
              </w:rPr>
              <w:t xml:space="preserve"> </w:t>
            </w:r>
            <w:r w:rsidRPr="00396221">
              <w:rPr>
                <w:sz w:val="22"/>
              </w:rPr>
              <w:t>patvirtinta Daugiabučių namų bendrosios nuosavybės administravimo tarifų apskaičiavimo metodika, pagal kurią</w:t>
            </w:r>
            <w:r w:rsidR="009B51F2">
              <w:rPr>
                <w:sz w:val="22"/>
              </w:rPr>
              <w:t xml:space="preserve">, vadovaujantis </w:t>
            </w:r>
            <w:r w:rsidR="009B51F2" w:rsidRPr="009B51F2">
              <w:rPr>
                <w:sz w:val="22"/>
              </w:rPr>
              <w:t>Jurbarko rajono savivaldybės tarybos 2016 m. liepos 12 d. sprendim</w:t>
            </w:r>
            <w:r w:rsidR="009B51F2">
              <w:rPr>
                <w:sz w:val="22"/>
              </w:rPr>
              <w:t>u</w:t>
            </w:r>
            <w:r w:rsidR="009B51F2" w:rsidRPr="009B51F2">
              <w:rPr>
                <w:sz w:val="22"/>
              </w:rPr>
              <w:t xml:space="preserve"> Nr. T2-223 „Dėl daugiabučių gyvenamųjų namų, esančių Jurbarko mieste, bendrojo naudojimo objektų maksimalaus administravimo mokesčio tarifo patvirtinimo“</w:t>
            </w:r>
            <w:r w:rsidR="009B51F2">
              <w:rPr>
                <w:sz w:val="22"/>
              </w:rPr>
              <w:t xml:space="preserve">, patvirtintas </w:t>
            </w:r>
            <w:r w:rsidR="009B51F2" w:rsidRPr="009B51F2">
              <w:rPr>
                <w:sz w:val="22"/>
              </w:rPr>
              <w:t>daugiabučių gyvenamųjų namų, esančių Jurbarko mieste, bendrojo naudojimo objektų maksimal</w:t>
            </w:r>
            <w:r w:rsidR="009B51F2">
              <w:rPr>
                <w:sz w:val="22"/>
              </w:rPr>
              <w:t>us</w:t>
            </w:r>
            <w:r w:rsidR="009B51F2" w:rsidRPr="009B51F2">
              <w:rPr>
                <w:sz w:val="22"/>
              </w:rPr>
              <w:t xml:space="preserve"> administravimo mokesčio tarif</w:t>
            </w:r>
            <w:r w:rsidR="009B51F2">
              <w:rPr>
                <w:sz w:val="22"/>
              </w:rPr>
              <w:t>as</w:t>
            </w:r>
            <w:r w:rsidR="009B51F2" w:rsidRPr="009B51F2">
              <w:rPr>
                <w:sz w:val="22"/>
              </w:rPr>
              <w:t xml:space="preserve"> </w:t>
            </w:r>
            <w:r w:rsidR="009B51F2">
              <w:rPr>
                <w:sz w:val="22"/>
              </w:rPr>
              <w:t xml:space="preserve">yra </w:t>
            </w:r>
            <w:r w:rsidR="009B51F2" w:rsidRPr="009B51F2">
              <w:rPr>
                <w:sz w:val="22"/>
              </w:rPr>
              <w:t>– 0,0863 euro už vieną kvadratinį metrą naudingojo ploto per mėnesį (be PVM).</w:t>
            </w:r>
            <w:r w:rsidR="009B51F2">
              <w:rPr>
                <w:sz w:val="22"/>
              </w:rPr>
              <w:t xml:space="preserve"> </w:t>
            </w:r>
          </w:p>
        </w:tc>
      </w:tr>
      <w:tr w:rsidR="006A29E6" w14:paraId="26068862" w14:textId="77777777" w:rsidTr="00184F89">
        <w:tc>
          <w:tcPr>
            <w:tcW w:w="9806" w:type="dxa"/>
          </w:tcPr>
          <w:p w14:paraId="480FED11" w14:textId="77777777" w:rsidR="006A29E6" w:rsidRDefault="006A29E6" w:rsidP="007371F4">
            <w:pPr>
              <w:tabs>
                <w:tab w:val="left" w:pos="0"/>
              </w:tabs>
              <w:rPr>
                <w:b/>
                <w:bCs/>
                <w:i/>
                <w:iCs/>
                <w:sz w:val="22"/>
              </w:rPr>
            </w:pPr>
            <w:r>
              <w:rPr>
                <w:b/>
                <w:bCs/>
                <w:i/>
                <w:iCs/>
                <w:sz w:val="22"/>
              </w:rPr>
              <w:t>3. Kokių pozityvių rezultatų laukiama.</w:t>
            </w:r>
          </w:p>
        </w:tc>
      </w:tr>
      <w:tr w:rsidR="006A29E6" w14:paraId="2D11EF59" w14:textId="77777777" w:rsidTr="00184F89">
        <w:tc>
          <w:tcPr>
            <w:tcW w:w="9806" w:type="dxa"/>
          </w:tcPr>
          <w:p w14:paraId="63AADDF5" w14:textId="77777777" w:rsidR="006A29E6" w:rsidRDefault="00E664C4" w:rsidP="007371F4">
            <w:pPr>
              <w:tabs>
                <w:tab w:val="left" w:pos="0"/>
              </w:tabs>
              <w:jc w:val="both"/>
              <w:rPr>
                <w:sz w:val="22"/>
              </w:rPr>
            </w:pPr>
            <w:r>
              <w:rPr>
                <w:sz w:val="22"/>
              </w:rPr>
              <w:t>M</w:t>
            </w:r>
            <w:r w:rsidRPr="00E664C4">
              <w:rPr>
                <w:sz w:val="22"/>
              </w:rPr>
              <w:t xml:space="preserve">aksimalus administravimo mokesčio tarifas </w:t>
            </w:r>
            <w:r>
              <w:rPr>
                <w:sz w:val="22"/>
              </w:rPr>
              <w:t xml:space="preserve">bus </w:t>
            </w:r>
            <w:r w:rsidRPr="00E664C4">
              <w:rPr>
                <w:sz w:val="22"/>
              </w:rPr>
              <w:t>apskaičiuojamas vadovaujantis šiuo metu teisės aktuose numatytu administratoriaus atliekamų darbų (funkcijų) sąrašu, aktualiais statinių statybos skaičiuojamųjų kainų nustatymo principais ir rekomendacijomis.</w:t>
            </w:r>
            <w:r>
              <w:rPr>
                <w:sz w:val="22"/>
              </w:rPr>
              <w:t xml:space="preserve"> </w:t>
            </w:r>
            <w:r w:rsidRPr="00E664C4">
              <w:rPr>
                <w:sz w:val="22"/>
              </w:rPr>
              <w:t xml:space="preserve">Sprendimo projektu numatomas maksimalaus administravimo mokesčio tarifo didinimas suteiks galimybę administratoriams gerinti teikiamų paslaugų kokybę. </w:t>
            </w:r>
            <w:r w:rsidR="00C164DA" w:rsidRPr="00C164DA">
              <w:rPr>
                <w:sz w:val="22"/>
              </w:rPr>
              <w:t>Taip pat tikimasi, kad tai turės įtakos atsirasti naujiems administratoriams, padidins administratoriaus pasirinkimo galimybes.</w:t>
            </w:r>
          </w:p>
        </w:tc>
      </w:tr>
      <w:tr w:rsidR="006A29E6" w14:paraId="47C5C616" w14:textId="77777777" w:rsidTr="00184F89">
        <w:tc>
          <w:tcPr>
            <w:tcW w:w="9806" w:type="dxa"/>
          </w:tcPr>
          <w:p w14:paraId="2418000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FDE82F1" w14:textId="77777777" w:rsidTr="00184F89">
        <w:tc>
          <w:tcPr>
            <w:tcW w:w="9806" w:type="dxa"/>
          </w:tcPr>
          <w:p w14:paraId="094D2704" w14:textId="77777777" w:rsidR="006A29E6" w:rsidRDefault="00E664C4" w:rsidP="007371F4">
            <w:pPr>
              <w:tabs>
                <w:tab w:val="left" w:pos="0"/>
              </w:tabs>
              <w:jc w:val="both"/>
              <w:rPr>
                <w:sz w:val="20"/>
              </w:rPr>
            </w:pPr>
            <w:r>
              <w:rPr>
                <w:sz w:val="20"/>
              </w:rPr>
              <w:t>Nėra</w:t>
            </w:r>
          </w:p>
        </w:tc>
      </w:tr>
      <w:tr w:rsidR="006A29E6" w14:paraId="5D0C3ABE" w14:textId="77777777" w:rsidTr="00184F89">
        <w:tc>
          <w:tcPr>
            <w:tcW w:w="9806" w:type="dxa"/>
          </w:tcPr>
          <w:p w14:paraId="4652441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8970F22" w14:textId="77777777" w:rsidTr="00184F89">
        <w:tc>
          <w:tcPr>
            <w:tcW w:w="9806" w:type="dxa"/>
          </w:tcPr>
          <w:p w14:paraId="393670ED" w14:textId="77777777" w:rsidR="006A29E6" w:rsidRDefault="00503DCA" w:rsidP="007371F4">
            <w:pPr>
              <w:tabs>
                <w:tab w:val="left" w:pos="0"/>
              </w:tabs>
              <w:jc w:val="both"/>
              <w:rPr>
                <w:sz w:val="22"/>
              </w:rPr>
            </w:pPr>
            <w:r>
              <w:rPr>
                <w:sz w:val="22"/>
              </w:rPr>
              <w:t>-</w:t>
            </w:r>
          </w:p>
        </w:tc>
      </w:tr>
      <w:tr w:rsidR="006A29E6" w14:paraId="4920EEED" w14:textId="77777777" w:rsidTr="00184F89">
        <w:tc>
          <w:tcPr>
            <w:tcW w:w="9806" w:type="dxa"/>
          </w:tcPr>
          <w:p w14:paraId="562C7FCA" w14:textId="77777777" w:rsidR="006A29E6" w:rsidRPr="00256315" w:rsidRDefault="006A29E6" w:rsidP="007371F4">
            <w:pPr>
              <w:tabs>
                <w:tab w:val="left" w:pos="0"/>
              </w:tabs>
              <w:rPr>
                <w:b/>
                <w:bCs/>
                <w:i/>
                <w:iCs/>
                <w:sz w:val="22"/>
              </w:rPr>
            </w:pPr>
            <w:r w:rsidRPr="00256315">
              <w:rPr>
                <w:b/>
                <w:bCs/>
                <w:i/>
                <w:iCs/>
                <w:sz w:val="22"/>
              </w:rPr>
              <w:t>6. Projekto rengimo metu gauti specialistų vertinimai ir išvados, ekonominiai apskaičiavimai (sąmatos), konkretūs finansavimo šaltiniai.</w:t>
            </w:r>
          </w:p>
          <w:p w14:paraId="042F4CB7" w14:textId="77777777" w:rsidR="006A29E6" w:rsidRPr="00256315" w:rsidRDefault="00133B17" w:rsidP="00133B17">
            <w:pPr>
              <w:tabs>
                <w:tab w:val="left" w:pos="0"/>
              </w:tabs>
              <w:jc w:val="both"/>
              <w:rPr>
                <w:sz w:val="22"/>
              </w:rPr>
            </w:pPr>
            <w:r w:rsidRPr="00256315">
              <w:rPr>
                <w:sz w:val="22"/>
              </w:rPr>
              <w:t>Sprendimo projektu siūlomas tvirtinti Aprašas parengtas atsižvelgiant į UAB „Sistela“ parengtas rekomendacijas dėl daugiabučių gyvenamųjų namų administravimo ir priežiūros mokesčio tarifų apskaičiavimų pagal 2023 m. spalio mėn. statinių statybos skaičiuojamąsias kainas (toliau – Rekomendacijos).</w:t>
            </w:r>
          </w:p>
          <w:p w14:paraId="259EC446" w14:textId="77777777" w:rsidR="00133B17" w:rsidRPr="00256315" w:rsidRDefault="00133B17" w:rsidP="00133B17">
            <w:pPr>
              <w:tabs>
                <w:tab w:val="left" w:pos="0"/>
              </w:tabs>
              <w:jc w:val="both"/>
              <w:rPr>
                <w:sz w:val="22"/>
              </w:rPr>
            </w:pPr>
            <w:r w:rsidRPr="00256315">
              <w:rPr>
                <w:sz w:val="22"/>
              </w:rPr>
              <w:t>Apraše konkretaus namo maksimal</w:t>
            </w:r>
            <w:r w:rsidR="00E565A0" w:rsidRPr="00256315">
              <w:rPr>
                <w:sz w:val="22"/>
              </w:rPr>
              <w:t>us</w:t>
            </w:r>
            <w:r w:rsidRPr="00256315">
              <w:rPr>
                <w:sz w:val="22"/>
              </w:rPr>
              <w:t xml:space="preserve"> tarif</w:t>
            </w:r>
            <w:r w:rsidR="00E565A0" w:rsidRPr="00256315">
              <w:rPr>
                <w:sz w:val="22"/>
              </w:rPr>
              <w:t>as</w:t>
            </w:r>
            <w:r w:rsidRPr="00256315">
              <w:rPr>
                <w:sz w:val="22"/>
              </w:rPr>
              <w:t xml:space="preserve"> </w:t>
            </w:r>
            <w:proofErr w:type="spellStart"/>
            <w:r w:rsidRPr="00256315">
              <w:rPr>
                <w:sz w:val="22"/>
              </w:rPr>
              <w:t>Tap</w:t>
            </w:r>
            <w:proofErr w:type="spellEnd"/>
            <w:r w:rsidRPr="00256315">
              <w:rPr>
                <w:sz w:val="22"/>
              </w:rPr>
              <w:t xml:space="preserve"> – maksimalus tarifas konkrečiam namui (Eur/kv. m/mėn.) apskaičiuojama</w:t>
            </w:r>
            <w:r w:rsidR="00126C8B" w:rsidRPr="00256315">
              <w:rPr>
                <w:sz w:val="22"/>
              </w:rPr>
              <w:t>s</w:t>
            </w:r>
            <w:r w:rsidRPr="00256315">
              <w:rPr>
                <w:sz w:val="22"/>
              </w:rPr>
              <w:t xml:space="preserve"> pagal formulę:</w:t>
            </w:r>
          </w:p>
          <w:p w14:paraId="56DC8952" w14:textId="77777777" w:rsidR="00133B17" w:rsidRPr="00256315" w:rsidRDefault="00133B17" w:rsidP="00133B17">
            <w:pPr>
              <w:tabs>
                <w:tab w:val="left" w:pos="0"/>
              </w:tabs>
              <w:jc w:val="both"/>
              <w:rPr>
                <w:sz w:val="22"/>
              </w:rPr>
            </w:pPr>
            <w:proofErr w:type="spellStart"/>
            <w:r w:rsidRPr="00256315">
              <w:rPr>
                <w:b/>
                <w:bCs/>
                <w:sz w:val="22"/>
              </w:rPr>
              <w:t>Tap</w:t>
            </w:r>
            <w:proofErr w:type="spellEnd"/>
            <w:r w:rsidRPr="00256315">
              <w:rPr>
                <w:b/>
                <w:bCs/>
                <w:sz w:val="22"/>
              </w:rPr>
              <w:t xml:space="preserve"> = Ta x K</w:t>
            </w:r>
            <w:r w:rsidRPr="00256315">
              <w:rPr>
                <w:sz w:val="22"/>
              </w:rPr>
              <w:t>, kur:</w:t>
            </w:r>
          </w:p>
          <w:p w14:paraId="658CEB19" w14:textId="77777777" w:rsidR="00133B17" w:rsidRPr="00256315" w:rsidRDefault="00133B17" w:rsidP="00133B17">
            <w:pPr>
              <w:tabs>
                <w:tab w:val="left" w:pos="0"/>
              </w:tabs>
              <w:jc w:val="both"/>
              <w:rPr>
                <w:sz w:val="22"/>
              </w:rPr>
            </w:pPr>
            <w:r w:rsidRPr="00256315">
              <w:rPr>
                <w:sz w:val="22"/>
              </w:rPr>
              <w:t>Ta – skaičiuojamasis administravimo mokesčio tarifas (Eur/kv. m/mėn.).</w:t>
            </w:r>
          </w:p>
          <w:p w14:paraId="6A2415E4" w14:textId="77777777" w:rsidR="00133B17" w:rsidRPr="00256315" w:rsidRDefault="00133B17" w:rsidP="00133B17">
            <w:pPr>
              <w:tabs>
                <w:tab w:val="left" w:pos="0"/>
              </w:tabs>
              <w:jc w:val="both"/>
              <w:rPr>
                <w:sz w:val="22"/>
              </w:rPr>
            </w:pPr>
            <w:r w:rsidRPr="00256315">
              <w:rPr>
                <w:sz w:val="22"/>
              </w:rPr>
              <w:t xml:space="preserve">Tarifo apskaičiavimui pagal Rekomendacijas pasirinktas daugiabutis namas su centriniu šildymu, kurio bendras plotas 2001–3000 m2 , bendras naudingasis plotas </w:t>
            </w:r>
            <w:proofErr w:type="spellStart"/>
            <w:r w:rsidRPr="00256315">
              <w:rPr>
                <w:sz w:val="22"/>
              </w:rPr>
              <w:t>Sn</w:t>
            </w:r>
            <w:proofErr w:type="spellEnd"/>
            <w:r w:rsidRPr="00256315">
              <w:rPr>
                <w:sz w:val="22"/>
              </w:rPr>
              <w:t xml:space="preserve"> = 1800 m2, pastato amžius 20–35 metai. </w:t>
            </w:r>
            <w:r w:rsidRPr="00256315">
              <w:rPr>
                <w:sz w:val="22"/>
              </w:rPr>
              <w:lastRenderedPageBreak/>
              <w:t>Atsižvelgiant į tai</w:t>
            </w:r>
            <w:r w:rsidR="00126C8B" w:rsidRPr="00256315">
              <w:rPr>
                <w:sz w:val="22"/>
              </w:rPr>
              <w:t>,</w:t>
            </w:r>
            <w:r w:rsidRPr="00256315">
              <w:rPr>
                <w:sz w:val="22"/>
              </w:rPr>
              <w:t xml:space="preserve"> Rekomendacijų prieduose (3</w:t>
            </w:r>
            <w:r w:rsidR="00126C8B" w:rsidRPr="00256315">
              <w:rPr>
                <w:sz w:val="22"/>
              </w:rPr>
              <w:t>–</w:t>
            </w:r>
            <w:r w:rsidRPr="00256315">
              <w:rPr>
                <w:sz w:val="22"/>
              </w:rPr>
              <w:t>6) koeficientai K1, K2, K3 yra = 1</w:t>
            </w:r>
            <w:r w:rsidR="00126C8B" w:rsidRPr="00256315">
              <w:rPr>
                <w:sz w:val="22"/>
              </w:rPr>
              <w:t>, kai</w:t>
            </w:r>
            <w:r w:rsidRPr="00256315">
              <w:rPr>
                <w:sz w:val="22"/>
              </w:rPr>
              <w:t xml:space="preserve">  apskaičiuoja</w:t>
            </w:r>
            <w:r w:rsidR="00126C8B" w:rsidRPr="00256315">
              <w:rPr>
                <w:sz w:val="22"/>
              </w:rPr>
              <w:t xml:space="preserve">mas </w:t>
            </w:r>
            <w:r w:rsidRPr="00256315">
              <w:rPr>
                <w:sz w:val="22"/>
              </w:rPr>
              <w:t>skaičiuojamojo administravimo mokesčio tarif</w:t>
            </w:r>
            <w:r w:rsidR="00126C8B" w:rsidRPr="00256315">
              <w:rPr>
                <w:sz w:val="22"/>
              </w:rPr>
              <w:t>as</w:t>
            </w:r>
            <w:r w:rsidRPr="00256315">
              <w:rPr>
                <w:sz w:val="22"/>
              </w:rPr>
              <w:t xml:space="preserve"> Ta.</w:t>
            </w:r>
          </w:p>
          <w:p w14:paraId="0568B6AE" w14:textId="77777777" w:rsidR="00133B17" w:rsidRPr="00256315" w:rsidRDefault="00133B17" w:rsidP="00133B17">
            <w:pPr>
              <w:tabs>
                <w:tab w:val="left" w:pos="0"/>
              </w:tabs>
              <w:jc w:val="both"/>
              <w:rPr>
                <w:sz w:val="22"/>
              </w:rPr>
            </w:pPr>
            <w:r w:rsidRPr="00256315">
              <w:rPr>
                <w:sz w:val="22"/>
              </w:rPr>
              <w:t>Koeficientas K4 taikomas paskaičiuoti K (K= K2xK3xK4)</w:t>
            </w:r>
          </w:p>
          <w:p w14:paraId="1D34E570" w14:textId="77777777" w:rsidR="000402DB" w:rsidRPr="00256315" w:rsidRDefault="000402DB" w:rsidP="000402DB">
            <w:pPr>
              <w:tabs>
                <w:tab w:val="left" w:pos="0"/>
              </w:tabs>
              <w:jc w:val="both"/>
              <w:rPr>
                <w:sz w:val="22"/>
              </w:rPr>
            </w:pPr>
            <w:r w:rsidRPr="00256315">
              <w:rPr>
                <w:b/>
                <w:bCs/>
                <w:sz w:val="22"/>
              </w:rPr>
              <w:t xml:space="preserve">Ta= </w:t>
            </w:r>
            <w:proofErr w:type="spellStart"/>
            <w:r w:rsidRPr="00256315">
              <w:rPr>
                <w:b/>
                <w:bCs/>
                <w:sz w:val="22"/>
              </w:rPr>
              <w:t>Ia</w:t>
            </w:r>
            <w:proofErr w:type="spellEnd"/>
            <w:r w:rsidRPr="00256315">
              <w:rPr>
                <w:b/>
                <w:bCs/>
                <w:sz w:val="22"/>
              </w:rPr>
              <w:t xml:space="preserve"> x K2 x K3 / (</w:t>
            </w:r>
            <w:proofErr w:type="spellStart"/>
            <w:r w:rsidRPr="00256315">
              <w:rPr>
                <w:b/>
                <w:bCs/>
                <w:sz w:val="22"/>
              </w:rPr>
              <w:t>Sn</w:t>
            </w:r>
            <w:proofErr w:type="spellEnd"/>
            <w:r w:rsidRPr="00256315">
              <w:rPr>
                <w:b/>
                <w:bCs/>
                <w:sz w:val="22"/>
              </w:rPr>
              <w:t xml:space="preserve"> x 12)</w:t>
            </w:r>
            <w:r w:rsidRPr="00256315">
              <w:rPr>
                <w:sz w:val="22"/>
              </w:rPr>
              <w:t>, kur:</w:t>
            </w:r>
          </w:p>
          <w:p w14:paraId="1152C452" w14:textId="77777777" w:rsidR="000402DB" w:rsidRPr="00256315" w:rsidRDefault="000402DB" w:rsidP="000402DB">
            <w:pPr>
              <w:tabs>
                <w:tab w:val="left" w:pos="0"/>
              </w:tabs>
              <w:jc w:val="both"/>
              <w:rPr>
                <w:sz w:val="22"/>
              </w:rPr>
            </w:pPr>
            <w:proofErr w:type="spellStart"/>
            <w:r w:rsidRPr="00256315">
              <w:rPr>
                <w:sz w:val="22"/>
              </w:rPr>
              <w:t>Ia</w:t>
            </w:r>
            <w:proofErr w:type="spellEnd"/>
            <w:r w:rsidRPr="00256315">
              <w:rPr>
                <w:sz w:val="22"/>
              </w:rPr>
              <w:t xml:space="preserve"> – skaičiuojamoji metinė administravimo darbų kaina (Eur), nustatyta pagal Aprašo 6 punktą;</w:t>
            </w:r>
          </w:p>
          <w:p w14:paraId="2F422DF8" w14:textId="77777777" w:rsidR="000402DB" w:rsidRPr="00256315" w:rsidRDefault="000402DB" w:rsidP="000402DB">
            <w:pPr>
              <w:tabs>
                <w:tab w:val="left" w:pos="0"/>
              </w:tabs>
              <w:jc w:val="both"/>
              <w:rPr>
                <w:sz w:val="22"/>
              </w:rPr>
            </w:pPr>
            <w:proofErr w:type="spellStart"/>
            <w:r w:rsidRPr="00256315">
              <w:rPr>
                <w:sz w:val="22"/>
              </w:rPr>
              <w:t>Sn</w:t>
            </w:r>
            <w:proofErr w:type="spellEnd"/>
            <w:r w:rsidRPr="00256315">
              <w:rPr>
                <w:sz w:val="22"/>
              </w:rPr>
              <w:t xml:space="preserve"> – statinio (pastato) bendrasis naudingasis plotas  </w:t>
            </w:r>
            <w:proofErr w:type="spellStart"/>
            <w:r w:rsidRPr="00256315">
              <w:rPr>
                <w:b/>
                <w:bCs/>
                <w:sz w:val="22"/>
              </w:rPr>
              <w:t>Sn</w:t>
            </w:r>
            <w:proofErr w:type="spellEnd"/>
            <w:r w:rsidRPr="00256315">
              <w:rPr>
                <w:b/>
                <w:bCs/>
                <w:sz w:val="22"/>
              </w:rPr>
              <w:t xml:space="preserve"> = 1800 m2</w:t>
            </w:r>
            <w:r w:rsidRPr="00256315">
              <w:rPr>
                <w:sz w:val="22"/>
              </w:rPr>
              <w:t>;</w:t>
            </w:r>
          </w:p>
          <w:p w14:paraId="18EA5511" w14:textId="77777777" w:rsidR="000402DB" w:rsidRPr="00256315" w:rsidRDefault="000402DB" w:rsidP="000402DB">
            <w:pPr>
              <w:tabs>
                <w:tab w:val="left" w:pos="0"/>
              </w:tabs>
              <w:jc w:val="both"/>
              <w:rPr>
                <w:sz w:val="22"/>
              </w:rPr>
            </w:pPr>
            <w:r w:rsidRPr="00256315">
              <w:rPr>
                <w:sz w:val="22"/>
              </w:rPr>
              <w:t>K2 – koeficientas, įvertinantis namų eksploatavimo laiką. Jurbarko r.</w:t>
            </w:r>
            <w:r w:rsidR="00126C8B" w:rsidRPr="00256315">
              <w:rPr>
                <w:sz w:val="22"/>
              </w:rPr>
              <w:t xml:space="preserve"> sav.</w:t>
            </w:r>
            <w:r w:rsidRPr="00256315">
              <w:rPr>
                <w:sz w:val="22"/>
              </w:rPr>
              <w:t xml:space="preserve"> administruojamų namų vidurkis daugiau kaip 35 m; skaičiuojamojo namo </w:t>
            </w:r>
            <w:r w:rsidRPr="00256315">
              <w:rPr>
                <w:b/>
                <w:bCs/>
                <w:sz w:val="22"/>
              </w:rPr>
              <w:t>K2 = 1</w:t>
            </w:r>
            <w:r w:rsidR="00E26FF3" w:rsidRPr="00256315">
              <w:rPr>
                <w:sz w:val="22"/>
              </w:rPr>
              <w:t>;</w:t>
            </w:r>
          </w:p>
          <w:p w14:paraId="70CE3C13" w14:textId="77777777" w:rsidR="00133B17" w:rsidRPr="00256315" w:rsidRDefault="000402DB" w:rsidP="000402DB">
            <w:pPr>
              <w:tabs>
                <w:tab w:val="left" w:pos="0"/>
              </w:tabs>
              <w:jc w:val="both"/>
              <w:rPr>
                <w:sz w:val="22"/>
              </w:rPr>
            </w:pPr>
            <w:r w:rsidRPr="00256315">
              <w:rPr>
                <w:sz w:val="22"/>
              </w:rPr>
              <w:t>K3 – koeficientas, įvertinantis namų buitinių patogumų lygį. Jurbarko r.</w:t>
            </w:r>
            <w:r w:rsidR="00126C8B" w:rsidRPr="00256315">
              <w:rPr>
                <w:sz w:val="22"/>
              </w:rPr>
              <w:t xml:space="preserve"> sav.</w:t>
            </w:r>
            <w:r w:rsidRPr="00256315">
              <w:rPr>
                <w:sz w:val="22"/>
              </w:rPr>
              <w:t xml:space="preserve"> administruojamų namų vidurkis – namai su centriniu šildymu, skaičiuojamojo namo </w:t>
            </w:r>
            <w:r w:rsidRPr="00256315">
              <w:rPr>
                <w:b/>
                <w:bCs/>
                <w:sz w:val="22"/>
              </w:rPr>
              <w:t>K3 = 1</w:t>
            </w:r>
            <w:r w:rsidR="00E26FF3" w:rsidRPr="00256315">
              <w:rPr>
                <w:sz w:val="22"/>
              </w:rPr>
              <w:t>;</w:t>
            </w:r>
          </w:p>
          <w:p w14:paraId="32E38902" w14:textId="77777777" w:rsidR="000402DB" w:rsidRPr="00256315" w:rsidRDefault="000402DB" w:rsidP="000402DB">
            <w:pPr>
              <w:tabs>
                <w:tab w:val="left" w:pos="0"/>
              </w:tabs>
              <w:jc w:val="both"/>
              <w:rPr>
                <w:sz w:val="22"/>
              </w:rPr>
            </w:pPr>
            <w:proofErr w:type="spellStart"/>
            <w:r w:rsidRPr="00256315">
              <w:rPr>
                <w:b/>
                <w:bCs/>
                <w:sz w:val="22"/>
              </w:rPr>
              <w:t>Ia</w:t>
            </w:r>
            <w:proofErr w:type="spellEnd"/>
            <w:r w:rsidRPr="00256315">
              <w:rPr>
                <w:b/>
                <w:bCs/>
                <w:sz w:val="22"/>
              </w:rPr>
              <w:t xml:space="preserve"> = (</w:t>
            </w:r>
            <w:proofErr w:type="spellStart"/>
            <w:r w:rsidRPr="00256315">
              <w:rPr>
                <w:b/>
                <w:bCs/>
                <w:sz w:val="22"/>
              </w:rPr>
              <w:t>Iak</w:t>
            </w:r>
            <w:proofErr w:type="spellEnd"/>
            <w:r w:rsidRPr="00256315">
              <w:rPr>
                <w:b/>
                <w:bCs/>
                <w:sz w:val="22"/>
              </w:rPr>
              <w:t xml:space="preserve"> + </w:t>
            </w:r>
            <w:proofErr w:type="spellStart"/>
            <w:r w:rsidRPr="00256315">
              <w:rPr>
                <w:b/>
                <w:bCs/>
                <w:sz w:val="22"/>
              </w:rPr>
              <w:t>Ian</w:t>
            </w:r>
            <w:proofErr w:type="spellEnd"/>
            <w:r w:rsidRPr="00256315">
              <w:rPr>
                <w:b/>
                <w:bCs/>
                <w:sz w:val="22"/>
              </w:rPr>
              <w:t>) x K1</w:t>
            </w:r>
            <w:r w:rsidRPr="00256315">
              <w:rPr>
                <w:sz w:val="22"/>
              </w:rPr>
              <w:t>, kur:</w:t>
            </w:r>
          </w:p>
          <w:p w14:paraId="5E0BDEFA" w14:textId="77777777" w:rsidR="000402DB" w:rsidRPr="00256315" w:rsidRDefault="000402DB" w:rsidP="000402DB">
            <w:pPr>
              <w:tabs>
                <w:tab w:val="left" w:pos="0"/>
              </w:tabs>
              <w:jc w:val="both"/>
              <w:rPr>
                <w:sz w:val="22"/>
              </w:rPr>
            </w:pPr>
            <w:proofErr w:type="spellStart"/>
            <w:r w:rsidRPr="00256315">
              <w:rPr>
                <w:sz w:val="22"/>
              </w:rPr>
              <w:t>Iak</w:t>
            </w:r>
            <w:proofErr w:type="spellEnd"/>
            <w:r w:rsidRPr="00256315">
              <w:rPr>
                <w:sz w:val="22"/>
              </w:rPr>
              <w:t xml:space="preserve"> –  metinė administratoriaus atliekamų darbų kaina (Eur);</w:t>
            </w:r>
          </w:p>
          <w:p w14:paraId="08760114" w14:textId="77777777" w:rsidR="000402DB" w:rsidRPr="00256315" w:rsidRDefault="000402DB" w:rsidP="000402DB">
            <w:pPr>
              <w:tabs>
                <w:tab w:val="left" w:pos="0"/>
              </w:tabs>
              <w:jc w:val="both"/>
              <w:rPr>
                <w:sz w:val="22"/>
              </w:rPr>
            </w:pPr>
            <w:proofErr w:type="spellStart"/>
            <w:r w:rsidRPr="00256315">
              <w:rPr>
                <w:sz w:val="22"/>
              </w:rPr>
              <w:t>Ian</w:t>
            </w:r>
            <w:proofErr w:type="spellEnd"/>
            <w:r w:rsidRPr="00256315">
              <w:rPr>
                <w:sz w:val="22"/>
              </w:rPr>
              <w:t xml:space="preserve"> – metinė nenumatytų darbų kaina (Eur);</w:t>
            </w:r>
          </w:p>
          <w:p w14:paraId="32141117" w14:textId="77777777" w:rsidR="000402DB" w:rsidRPr="00256315" w:rsidRDefault="000402DB" w:rsidP="000402DB">
            <w:pPr>
              <w:tabs>
                <w:tab w:val="left" w:pos="0"/>
              </w:tabs>
              <w:jc w:val="both"/>
              <w:rPr>
                <w:sz w:val="22"/>
              </w:rPr>
            </w:pPr>
            <w:r w:rsidRPr="00256315">
              <w:rPr>
                <w:sz w:val="22"/>
              </w:rPr>
              <w:t>K1 – darbo laiko sąnaudų koeficientas, įvertinantis namų plotą. Jurbarko r.</w:t>
            </w:r>
            <w:r w:rsidR="00126C8B" w:rsidRPr="00256315">
              <w:rPr>
                <w:sz w:val="22"/>
              </w:rPr>
              <w:t xml:space="preserve"> sav.</w:t>
            </w:r>
            <w:r w:rsidRPr="00256315">
              <w:rPr>
                <w:sz w:val="22"/>
              </w:rPr>
              <w:t xml:space="preserve"> administruojamų namų vidurkis naudingo ploto Skaičiuojamojo namo K1 = 1 (Rekomendacijų 3 priedas</w:t>
            </w:r>
            <w:r w:rsidR="00905FE7" w:rsidRPr="00256315">
              <w:rPr>
                <w:sz w:val="22"/>
              </w:rPr>
              <w:t>, Aprašo 5 lentelė</w:t>
            </w:r>
            <w:r w:rsidRPr="00256315">
              <w:rPr>
                <w:sz w:val="22"/>
              </w:rPr>
              <w:t>).</w:t>
            </w:r>
          </w:p>
          <w:p w14:paraId="46E07B5E" w14:textId="77777777" w:rsidR="000402DB" w:rsidRPr="00256315" w:rsidRDefault="000402DB" w:rsidP="000402DB">
            <w:pPr>
              <w:tabs>
                <w:tab w:val="left" w:pos="0"/>
              </w:tabs>
              <w:jc w:val="both"/>
              <w:rPr>
                <w:sz w:val="22"/>
              </w:rPr>
            </w:pPr>
            <w:proofErr w:type="spellStart"/>
            <w:r w:rsidRPr="00256315">
              <w:rPr>
                <w:sz w:val="22"/>
              </w:rPr>
              <w:t>Iak</w:t>
            </w:r>
            <w:proofErr w:type="spellEnd"/>
            <w:r w:rsidRPr="00256315">
              <w:rPr>
                <w:sz w:val="22"/>
              </w:rPr>
              <w:t xml:space="preserve"> - darbai pagal rekomenduojamas laiko sąnaudas paskaičiuojami taip: administratoriaus darbo valandos skaičiuojamoji rinkos kaina prilyginta </w:t>
            </w:r>
            <w:r w:rsidR="009E4DF0" w:rsidRPr="00256315">
              <w:rPr>
                <w:sz w:val="22"/>
              </w:rPr>
              <w:t>3</w:t>
            </w:r>
            <w:r w:rsidRPr="00256315">
              <w:rPr>
                <w:sz w:val="22"/>
              </w:rPr>
              <w:t>,0 kvalifikacinės kategorijos darbo užmokesčio valandiniam atlygiui, kuris šiuo metu (</w:t>
            </w:r>
            <w:r w:rsidR="008645A2" w:rsidRPr="00256315">
              <w:rPr>
                <w:sz w:val="22"/>
              </w:rPr>
              <w:t>UAB „Sistela“ 2024 m. balandžio mėn. duomenimis</w:t>
            </w:r>
            <w:r w:rsidRPr="00256315">
              <w:rPr>
                <w:sz w:val="22"/>
              </w:rPr>
              <w:t xml:space="preserve">) </w:t>
            </w:r>
            <w:r w:rsidR="008645A2" w:rsidRPr="00256315">
              <w:rPr>
                <w:sz w:val="22"/>
              </w:rPr>
              <w:t>11,39</w:t>
            </w:r>
            <w:r w:rsidRPr="00256315">
              <w:rPr>
                <w:sz w:val="22"/>
              </w:rPr>
              <w:t xml:space="preserve"> Eur </w:t>
            </w:r>
            <w:proofErr w:type="spellStart"/>
            <w:r w:rsidRPr="00256315">
              <w:rPr>
                <w:sz w:val="22"/>
              </w:rPr>
              <w:t>žm</w:t>
            </w:r>
            <w:proofErr w:type="spellEnd"/>
            <w:r w:rsidRPr="00256315">
              <w:rPr>
                <w:sz w:val="22"/>
              </w:rPr>
              <w:t xml:space="preserve">./val. per mėn. Skaičiuojamosios darbo laiko sąnaudos </w:t>
            </w:r>
            <w:proofErr w:type="spellStart"/>
            <w:r w:rsidRPr="00256315">
              <w:rPr>
                <w:sz w:val="22"/>
              </w:rPr>
              <w:t>žm</w:t>
            </w:r>
            <w:proofErr w:type="spellEnd"/>
            <w:r w:rsidRPr="00256315">
              <w:rPr>
                <w:sz w:val="22"/>
              </w:rPr>
              <w:t>./val. per metus (2 priedo suma) 9</w:t>
            </w:r>
            <w:r w:rsidR="008645A2" w:rsidRPr="00256315">
              <w:rPr>
                <w:sz w:val="22"/>
              </w:rPr>
              <w:t>0</w:t>
            </w:r>
            <w:r w:rsidRPr="00256315">
              <w:rPr>
                <w:sz w:val="22"/>
              </w:rPr>
              <w:t xml:space="preserve"> </w:t>
            </w:r>
            <w:proofErr w:type="spellStart"/>
            <w:r w:rsidRPr="00256315">
              <w:rPr>
                <w:sz w:val="22"/>
              </w:rPr>
              <w:t>žm</w:t>
            </w:r>
            <w:proofErr w:type="spellEnd"/>
            <w:r w:rsidRPr="00256315">
              <w:rPr>
                <w:sz w:val="22"/>
              </w:rPr>
              <w:t>./val. per metus; 1</w:t>
            </w:r>
            <w:r w:rsidR="008645A2" w:rsidRPr="00256315">
              <w:rPr>
                <w:sz w:val="22"/>
              </w:rPr>
              <w:t>1,39</w:t>
            </w:r>
            <w:r w:rsidRPr="00256315">
              <w:rPr>
                <w:sz w:val="22"/>
              </w:rPr>
              <w:t>x9</w:t>
            </w:r>
            <w:r w:rsidR="008645A2" w:rsidRPr="00256315">
              <w:rPr>
                <w:sz w:val="22"/>
              </w:rPr>
              <w:t>0</w:t>
            </w:r>
            <w:r w:rsidRPr="00256315">
              <w:rPr>
                <w:sz w:val="22"/>
              </w:rPr>
              <w:t>=1</w:t>
            </w:r>
            <w:r w:rsidR="008645A2" w:rsidRPr="00256315">
              <w:rPr>
                <w:sz w:val="22"/>
              </w:rPr>
              <w:t>025</w:t>
            </w:r>
            <w:r w:rsidRPr="00256315">
              <w:rPr>
                <w:sz w:val="22"/>
              </w:rPr>
              <w:t>,</w:t>
            </w:r>
            <w:r w:rsidR="008645A2" w:rsidRPr="00256315">
              <w:rPr>
                <w:sz w:val="22"/>
              </w:rPr>
              <w:t>10</w:t>
            </w:r>
            <w:r w:rsidRPr="00256315">
              <w:rPr>
                <w:sz w:val="22"/>
              </w:rPr>
              <w:t xml:space="preserve"> Eur, nuo šios sumos 8 proc. papildomas darbo užmokestis (</w:t>
            </w:r>
            <w:r w:rsidR="008645A2" w:rsidRPr="00256315">
              <w:rPr>
                <w:sz w:val="22"/>
              </w:rPr>
              <w:t>82,01</w:t>
            </w:r>
            <w:r w:rsidRPr="00256315">
              <w:rPr>
                <w:sz w:val="22"/>
              </w:rPr>
              <w:t xml:space="preserve">), t. y. </w:t>
            </w:r>
            <w:r w:rsidR="008645A2" w:rsidRPr="00256315">
              <w:rPr>
                <w:sz w:val="22"/>
              </w:rPr>
              <w:t>1025,10</w:t>
            </w:r>
            <w:r w:rsidRPr="00256315">
              <w:rPr>
                <w:sz w:val="22"/>
              </w:rPr>
              <w:t>+</w:t>
            </w:r>
            <w:r w:rsidR="008645A2" w:rsidRPr="00256315">
              <w:rPr>
                <w:sz w:val="22"/>
              </w:rPr>
              <w:t>82,01</w:t>
            </w:r>
            <w:r w:rsidRPr="00256315">
              <w:rPr>
                <w:sz w:val="22"/>
              </w:rPr>
              <w:t>=1</w:t>
            </w:r>
            <w:r w:rsidR="008645A2" w:rsidRPr="00256315">
              <w:rPr>
                <w:sz w:val="22"/>
              </w:rPr>
              <w:t>107</w:t>
            </w:r>
            <w:r w:rsidRPr="00256315">
              <w:rPr>
                <w:sz w:val="22"/>
              </w:rPr>
              <w:t>,1</w:t>
            </w:r>
            <w:r w:rsidR="008645A2" w:rsidRPr="00256315">
              <w:rPr>
                <w:sz w:val="22"/>
              </w:rPr>
              <w:t>1</w:t>
            </w:r>
            <w:r w:rsidRPr="00256315">
              <w:rPr>
                <w:sz w:val="22"/>
              </w:rPr>
              <w:t>, nuo šios sumos „Sodros“ mokestis 1,79 proc.</w:t>
            </w:r>
            <w:r w:rsidR="00126C8B" w:rsidRPr="00256315">
              <w:rPr>
                <w:sz w:val="22"/>
              </w:rPr>
              <w:t xml:space="preserve"> </w:t>
            </w:r>
            <w:r w:rsidRPr="00256315">
              <w:rPr>
                <w:sz w:val="22"/>
              </w:rPr>
              <w:t>(1,47 proc. bendrasis socialinio draudimo įmokų tarifas bei garantinio fondo ir ilgalaikio nedarbo įmokų tarifas 0,32 proc.</w:t>
            </w:r>
            <w:r w:rsidR="00905FE7" w:rsidRPr="00256315">
              <w:rPr>
                <w:sz w:val="22"/>
              </w:rPr>
              <w:t xml:space="preserve"> </w:t>
            </w:r>
            <w:r w:rsidRPr="00256315">
              <w:rPr>
                <w:sz w:val="22"/>
              </w:rPr>
              <w:t>t.</w:t>
            </w:r>
            <w:r w:rsidR="00905FE7" w:rsidRPr="00256315">
              <w:rPr>
                <w:sz w:val="22"/>
              </w:rPr>
              <w:t xml:space="preserve"> </w:t>
            </w:r>
            <w:r w:rsidRPr="00256315">
              <w:rPr>
                <w:sz w:val="22"/>
              </w:rPr>
              <w:t xml:space="preserve">y.=1,79 proc. nuo apskaičiuoto darbo užmokesčio) sudaro </w:t>
            </w:r>
            <w:r w:rsidR="00A20020" w:rsidRPr="00256315">
              <w:rPr>
                <w:sz w:val="22"/>
              </w:rPr>
              <w:t>19,82</w:t>
            </w:r>
            <w:r w:rsidRPr="00256315">
              <w:rPr>
                <w:sz w:val="22"/>
              </w:rPr>
              <w:t xml:space="preserve"> Eur. Suma yra 1</w:t>
            </w:r>
            <w:r w:rsidR="00A20020" w:rsidRPr="00256315">
              <w:rPr>
                <w:sz w:val="22"/>
              </w:rPr>
              <w:t>126</w:t>
            </w:r>
            <w:r w:rsidRPr="00256315">
              <w:rPr>
                <w:sz w:val="22"/>
              </w:rPr>
              <w:t>,</w:t>
            </w:r>
            <w:r w:rsidR="00A20020" w:rsidRPr="00256315">
              <w:rPr>
                <w:sz w:val="22"/>
              </w:rPr>
              <w:t>93</w:t>
            </w:r>
            <w:r w:rsidRPr="00256315">
              <w:rPr>
                <w:sz w:val="22"/>
              </w:rPr>
              <w:t>, nuo šios sumos statybvietės išlaidos</w:t>
            </w:r>
            <w:r w:rsidR="002F3897" w:rsidRPr="00256315">
              <w:rPr>
                <w:sz w:val="22"/>
              </w:rPr>
              <w:t xml:space="preserve"> </w:t>
            </w:r>
            <w:r w:rsidRPr="00256315">
              <w:rPr>
                <w:sz w:val="22"/>
              </w:rPr>
              <w:t>5 proc.=</w:t>
            </w:r>
            <w:r w:rsidR="00A20020" w:rsidRPr="00256315">
              <w:rPr>
                <w:sz w:val="22"/>
              </w:rPr>
              <w:t>56,35</w:t>
            </w:r>
            <w:r w:rsidRPr="00256315">
              <w:rPr>
                <w:sz w:val="22"/>
              </w:rPr>
              <w:t xml:space="preserve">. Suma bus </w:t>
            </w:r>
            <w:r w:rsidR="00A20020" w:rsidRPr="00256315">
              <w:rPr>
                <w:sz w:val="22"/>
              </w:rPr>
              <w:t>1183,28</w:t>
            </w:r>
            <w:r w:rsidRPr="00256315">
              <w:rPr>
                <w:sz w:val="22"/>
              </w:rPr>
              <w:t>. Nuo šios sumos netiesioginės išlaidos 12 proc.=</w:t>
            </w:r>
            <w:r w:rsidR="00A20020" w:rsidRPr="00256315">
              <w:rPr>
                <w:sz w:val="22"/>
              </w:rPr>
              <w:t>141,99</w:t>
            </w:r>
            <w:r w:rsidR="00126C8B" w:rsidRPr="00256315">
              <w:rPr>
                <w:sz w:val="22"/>
              </w:rPr>
              <w:t>.</w:t>
            </w:r>
            <w:r w:rsidRPr="00256315">
              <w:rPr>
                <w:sz w:val="22"/>
              </w:rPr>
              <w:t xml:space="preserve"> </w:t>
            </w:r>
            <w:r w:rsidR="00126C8B" w:rsidRPr="00256315">
              <w:rPr>
                <w:sz w:val="22"/>
              </w:rPr>
              <w:t>Gaunama suma</w:t>
            </w:r>
            <w:r w:rsidRPr="00256315">
              <w:rPr>
                <w:sz w:val="22"/>
              </w:rPr>
              <w:t xml:space="preserve"> </w:t>
            </w:r>
            <w:proofErr w:type="spellStart"/>
            <w:r w:rsidRPr="00256315">
              <w:rPr>
                <w:b/>
                <w:bCs/>
                <w:sz w:val="22"/>
              </w:rPr>
              <w:t>Iak</w:t>
            </w:r>
            <w:proofErr w:type="spellEnd"/>
            <w:r w:rsidRPr="00256315">
              <w:rPr>
                <w:b/>
                <w:bCs/>
                <w:sz w:val="22"/>
              </w:rPr>
              <w:t xml:space="preserve"> = </w:t>
            </w:r>
            <w:r w:rsidR="00A20020" w:rsidRPr="00256315">
              <w:rPr>
                <w:b/>
                <w:bCs/>
                <w:sz w:val="22"/>
              </w:rPr>
              <w:t>1325</w:t>
            </w:r>
            <w:r w:rsidRPr="00256315">
              <w:rPr>
                <w:b/>
                <w:bCs/>
                <w:sz w:val="22"/>
              </w:rPr>
              <w:t>,</w:t>
            </w:r>
            <w:r w:rsidR="00A20020" w:rsidRPr="00256315">
              <w:rPr>
                <w:b/>
                <w:bCs/>
                <w:sz w:val="22"/>
              </w:rPr>
              <w:t>27</w:t>
            </w:r>
            <w:r w:rsidRPr="00256315">
              <w:rPr>
                <w:sz w:val="22"/>
              </w:rPr>
              <w:t xml:space="preserve"> Eur be PVM.</w:t>
            </w:r>
          </w:p>
          <w:p w14:paraId="2CE9A116" w14:textId="77777777" w:rsidR="000402DB" w:rsidRPr="00256315" w:rsidRDefault="000402DB" w:rsidP="000402DB">
            <w:pPr>
              <w:tabs>
                <w:tab w:val="left" w:pos="0"/>
              </w:tabs>
              <w:jc w:val="both"/>
              <w:rPr>
                <w:sz w:val="22"/>
              </w:rPr>
            </w:pPr>
            <w:proofErr w:type="spellStart"/>
            <w:r w:rsidRPr="00256315">
              <w:rPr>
                <w:b/>
                <w:bCs/>
                <w:sz w:val="22"/>
              </w:rPr>
              <w:t>Ian</w:t>
            </w:r>
            <w:proofErr w:type="spellEnd"/>
            <w:r w:rsidRPr="00256315">
              <w:rPr>
                <w:sz w:val="22"/>
              </w:rPr>
              <w:t xml:space="preserve"> - kiti nenumatyti darbai nuo šios sumos </w:t>
            </w:r>
            <w:r w:rsidR="00126C8B" w:rsidRPr="00256315">
              <w:rPr>
                <w:sz w:val="22"/>
              </w:rPr>
              <w:t>(</w:t>
            </w:r>
            <w:r w:rsidRPr="00256315">
              <w:rPr>
                <w:sz w:val="22"/>
              </w:rPr>
              <w:t>10 proc.</w:t>
            </w:r>
            <w:r w:rsidR="00126C8B" w:rsidRPr="00256315">
              <w:rPr>
                <w:sz w:val="22"/>
              </w:rPr>
              <w:t>)</w:t>
            </w:r>
            <w:r w:rsidRPr="00256315">
              <w:rPr>
                <w:sz w:val="22"/>
              </w:rPr>
              <w:t xml:space="preserve"> </w:t>
            </w:r>
            <w:r w:rsidRPr="00256315">
              <w:rPr>
                <w:b/>
                <w:bCs/>
                <w:sz w:val="22"/>
              </w:rPr>
              <w:t>=</w:t>
            </w:r>
            <w:r w:rsidRPr="00256315">
              <w:rPr>
                <w:sz w:val="22"/>
              </w:rPr>
              <w:t xml:space="preserve"> </w:t>
            </w:r>
            <w:r w:rsidR="00A20020" w:rsidRPr="00256315">
              <w:rPr>
                <w:b/>
                <w:bCs/>
                <w:sz w:val="22"/>
              </w:rPr>
              <w:t>132,53</w:t>
            </w:r>
            <w:r w:rsidRPr="00256315">
              <w:rPr>
                <w:sz w:val="22"/>
              </w:rPr>
              <w:t xml:space="preserve"> Eur be PVM.</w:t>
            </w:r>
          </w:p>
          <w:p w14:paraId="19D59DF7" w14:textId="77777777" w:rsidR="000402DB" w:rsidRPr="00256315" w:rsidRDefault="000402DB" w:rsidP="000402DB">
            <w:pPr>
              <w:tabs>
                <w:tab w:val="left" w:pos="0"/>
              </w:tabs>
              <w:jc w:val="both"/>
              <w:rPr>
                <w:sz w:val="22"/>
              </w:rPr>
            </w:pPr>
            <w:proofErr w:type="spellStart"/>
            <w:r w:rsidRPr="00256315">
              <w:rPr>
                <w:sz w:val="22"/>
              </w:rPr>
              <w:t>Ia</w:t>
            </w:r>
            <w:proofErr w:type="spellEnd"/>
            <w:r w:rsidRPr="00256315">
              <w:rPr>
                <w:sz w:val="22"/>
              </w:rPr>
              <w:t xml:space="preserve"> – administravimo darbų kaina:</w:t>
            </w:r>
          </w:p>
          <w:p w14:paraId="3319BF75" w14:textId="77777777" w:rsidR="000402DB" w:rsidRPr="00256315" w:rsidRDefault="000402DB" w:rsidP="000402DB">
            <w:pPr>
              <w:tabs>
                <w:tab w:val="left" w:pos="0"/>
              </w:tabs>
              <w:jc w:val="both"/>
              <w:rPr>
                <w:sz w:val="22"/>
              </w:rPr>
            </w:pPr>
            <w:proofErr w:type="spellStart"/>
            <w:r w:rsidRPr="00256315">
              <w:rPr>
                <w:b/>
                <w:bCs/>
                <w:sz w:val="22"/>
              </w:rPr>
              <w:t>Ia</w:t>
            </w:r>
            <w:proofErr w:type="spellEnd"/>
            <w:r w:rsidRPr="00256315">
              <w:rPr>
                <w:b/>
                <w:bCs/>
                <w:sz w:val="22"/>
              </w:rPr>
              <w:t xml:space="preserve"> =</w:t>
            </w:r>
            <w:r w:rsidRPr="00256315">
              <w:rPr>
                <w:sz w:val="22"/>
              </w:rPr>
              <w:t xml:space="preserve"> (</w:t>
            </w:r>
            <w:proofErr w:type="spellStart"/>
            <w:r w:rsidRPr="00256315">
              <w:rPr>
                <w:sz w:val="22"/>
              </w:rPr>
              <w:t>Iak</w:t>
            </w:r>
            <w:proofErr w:type="spellEnd"/>
            <w:r w:rsidRPr="00256315">
              <w:rPr>
                <w:sz w:val="22"/>
              </w:rPr>
              <w:t xml:space="preserve"> + </w:t>
            </w:r>
            <w:proofErr w:type="spellStart"/>
            <w:r w:rsidRPr="00256315">
              <w:rPr>
                <w:sz w:val="22"/>
              </w:rPr>
              <w:t>Ian</w:t>
            </w:r>
            <w:proofErr w:type="spellEnd"/>
            <w:r w:rsidRPr="00256315">
              <w:rPr>
                <w:sz w:val="22"/>
              </w:rPr>
              <w:t>) x K1, (</w:t>
            </w:r>
            <w:r w:rsidR="00A20020" w:rsidRPr="00256315">
              <w:rPr>
                <w:sz w:val="22"/>
              </w:rPr>
              <w:t>1325,27</w:t>
            </w:r>
            <w:r w:rsidRPr="00256315">
              <w:rPr>
                <w:sz w:val="22"/>
              </w:rPr>
              <w:t>+</w:t>
            </w:r>
            <w:r w:rsidR="00A20020" w:rsidRPr="00256315">
              <w:rPr>
                <w:sz w:val="22"/>
              </w:rPr>
              <w:t>132,53</w:t>
            </w:r>
            <w:r w:rsidRPr="00256315">
              <w:rPr>
                <w:sz w:val="22"/>
              </w:rPr>
              <w:t xml:space="preserve">) x 1,00 = </w:t>
            </w:r>
            <w:r w:rsidR="00A20020" w:rsidRPr="00256315">
              <w:rPr>
                <w:b/>
                <w:bCs/>
                <w:sz w:val="22"/>
              </w:rPr>
              <w:t>1457,80</w:t>
            </w:r>
            <w:r w:rsidRPr="00256315">
              <w:rPr>
                <w:sz w:val="22"/>
              </w:rPr>
              <w:t xml:space="preserve"> Eur be PVM.</w:t>
            </w:r>
          </w:p>
          <w:p w14:paraId="7DD2C437" w14:textId="77777777" w:rsidR="000402DB" w:rsidRPr="00256315" w:rsidRDefault="000402DB" w:rsidP="000402DB">
            <w:pPr>
              <w:tabs>
                <w:tab w:val="left" w:pos="0"/>
              </w:tabs>
              <w:jc w:val="both"/>
              <w:rPr>
                <w:sz w:val="22"/>
              </w:rPr>
            </w:pPr>
          </w:p>
          <w:p w14:paraId="19BE7495" w14:textId="77777777" w:rsidR="000402DB" w:rsidRPr="00256315" w:rsidRDefault="000402DB" w:rsidP="000402DB">
            <w:pPr>
              <w:tabs>
                <w:tab w:val="left" w:pos="0"/>
              </w:tabs>
              <w:jc w:val="both"/>
              <w:rPr>
                <w:sz w:val="22"/>
              </w:rPr>
            </w:pPr>
            <w:r w:rsidRPr="00256315">
              <w:rPr>
                <w:sz w:val="22"/>
              </w:rPr>
              <w:t>Ta – administravimo mokesčio tarifas  (Eur/m2 mėn</w:t>
            </w:r>
            <w:r w:rsidR="00126C8B" w:rsidRPr="00256315">
              <w:rPr>
                <w:sz w:val="22"/>
              </w:rPr>
              <w:t>.</w:t>
            </w:r>
            <w:r w:rsidRPr="00256315">
              <w:rPr>
                <w:sz w:val="22"/>
              </w:rPr>
              <w:t>) apskaičiuojamas taip:</w:t>
            </w:r>
          </w:p>
          <w:p w14:paraId="3A8B42AF" w14:textId="77777777" w:rsidR="000402DB" w:rsidRPr="00256315" w:rsidRDefault="000402DB" w:rsidP="000402DB">
            <w:pPr>
              <w:tabs>
                <w:tab w:val="left" w:pos="0"/>
              </w:tabs>
              <w:jc w:val="both"/>
              <w:rPr>
                <w:sz w:val="22"/>
              </w:rPr>
            </w:pPr>
            <w:r w:rsidRPr="00256315">
              <w:rPr>
                <w:b/>
                <w:bCs/>
                <w:sz w:val="22"/>
              </w:rPr>
              <w:t>Ta=</w:t>
            </w:r>
            <w:r w:rsidRPr="00256315">
              <w:rPr>
                <w:sz w:val="22"/>
              </w:rPr>
              <w:t xml:space="preserve"> </w:t>
            </w:r>
            <w:proofErr w:type="spellStart"/>
            <w:r w:rsidRPr="00256315">
              <w:rPr>
                <w:sz w:val="22"/>
              </w:rPr>
              <w:t>Ia</w:t>
            </w:r>
            <w:proofErr w:type="spellEnd"/>
            <w:r w:rsidRPr="00256315">
              <w:rPr>
                <w:sz w:val="22"/>
              </w:rPr>
              <w:t xml:space="preserve"> x K2 x K3 / (</w:t>
            </w:r>
            <w:proofErr w:type="spellStart"/>
            <w:r w:rsidRPr="00256315">
              <w:rPr>
                <w:sz w:val="22"/>
              </w:rPr>
              <w:t>Sn</w:t>
            </w:r>
            <w:proofErr w:type="spellEnd"/>
            <w:r w:rsidRPr="00256315">
              <w:rPr>
                <w:sz w:val="22"/>
              </w:rPr>
              <w:t xml:space="preserve"> x 12) = </w:t>
            </w:r>
            <w:r w:rsidR="00A20020" w:rsidRPr="00256315">
              <w:rPr>
                <w:sz w:val="22"/>
              </w:rPr>
              <w:t>1457,80</w:t>
            </w:r>
            <w:r w:rsidRPr="00256315">
              <w:rPr>
                <w:sz w:val="22"/>
              </w:rPr>
              <w:t xml:space="preserve"> x 1 x 1 / 1800  x 12 = </w:t>
            </w:r>
            <w:r w:rsidR="00A20020" w:rsidRPr="00256315">
              <w:rPr>
                <w:sz w:val="22"/>
              </w:rPr>
              <w:t>1457,80</w:t>
            </w:r>
            <w:r w:rsidRPr="00256315">
              <w:rPr>
                <w:sz w:val="22"/>
              </w:rPr>
              <w:t xml:space="preserve"> / 21600 = </w:t>
            </w:r>
            <w:r w:rsidRPr="00256315">
              <w:rPr>
                <w:b/>
                <w:bCs/>
                <w:sz w:val="22"/>
              </w:rPr>
              <w:t>0,0</w:t>
            </w:r>
            <w:r w:rsidR="00A20020" w:rsidRPr="00256315">
              <w:rPr>
                <w:b/>
                <w:bCs/>
                <w:sz w:val="22"/>
              </w:rPr>
              <w:t>67</w:t>
            </w:r>
            <w:r w:rsidRPr="00256315">
              <w:rPr>
                <w:sz w:val="22"/>
              </w:rPr>
              <w:t xml:space="preserve"> Eur be PVM</w:t>
            </w:r>
          </w:p>
          <w:p w14:paraId="0B8A0327" w14:textId="77777777" w:rsidR="000402DB" w:rsidRPr="00256315" w:rsidRDefault="00BB4226" w:rsidP="000402DB">
            <w:pPr>
              <w:tabs>
                <w:tab w:val="left" w:pos="0"/>
              </w:tabs>
              <w:jc w:val="both"/>
              <w:rPr>
                <w:sz w:val="22"/>
              </w:rPr>
            </w:pPr>
            <w:r w:rsidRPr="00256315">
              <w:rPr>
                <w:sz w:val="22"/>
              </w:rPr>
              <w:t>(1 lentelė)</w:t>
            </w:r>
          </w:p>
          <w:tbl>
            <w:tblPr>
              <w:tblW w:w="8919" w:type="dxa"/>
              <w:tblInd w:w="2" w:type="dxa"/>
              <w:tblCellMar>
                <w:left w:w="0" w:type="dxa"/>
                <w:right w:w="0" w:type="dxa"/>
              </w:tblCellMar>
              <w:tblLook w:val="04A0" w:firstRow="1" w:lastRow="0" w:firstColumn="1" w:lastColumn="0" w:noHBand="0" w:noVBand="1"/>
            </w:tblPr>
            <w:tblGrid>
              <w:gridCol w:w="769"/>
              <w:gridCol w:w="3160"/>
              <w:gridCol w:w="1127"/>
              <w:gridCol w:w="1016"/>
              <w:gridCol w:w="1034"/>
              <w:gridCol w:w="1813"/>
            </w:tblGrid>
            <w:tr w:rsidR="00D41818" w:rsidRPr="00256315" w14:paraId="092BA271" w14:textId="77777777" w:rsidTr="00D51D85">
              <w:tc>
                <w:tcPr>
                  <w:tcW w:w="7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A79EE6" w14:textId="77777777" w:rsidR="00D41818" w:rsidRPr="00256315" w:rsidRDefault="00D41818" w:rsidP="00D41818">
                  <w:pPr>
                    <w:spacing w:after="160" w:line="259" w:lineRule="auto"/>
                    <w:rPr>
                      <w:sz w:val="22"/>
                      <w:szCs w:val="22"/>
                    </w:rPr>
                  </w:pPr>
                  <w:r w:rsidRPr="00256315">
                    <w:rPr>
                      <w:sz w:val="22"/>
                      <w:szCs w:val="22"/>
                    </w:rPr>
                    <w:t>Eil.</w:t>
                  </w:r>
                </w:p>
                <w:p w14:paraId="6187AC14" w14:textId="77777777" w:rsidR="00D41818" w:rsidRPr="00256315" w:rsidRDefault="00D41818" w:rsidP="00D41818">
                  <w:pPr>
                    <w:spacing w:after="160" w:line="259" w:lineRule="auto"/>
                    <w:rPr>
                      <w:sz w:val="22"/>
                      <w:szCs w:val="22"/>
                    </w:rPr>
                  </w:pPr>
                  <w:r w:rsidRPr="00256315">
                    <w:rPr>
                      <w:sz w:val="22"/>
                      <w:szCs w:val="22"/>
                    </w:rPr>
                    <w:t>Nr.</w:t>
                  </w:r>
                </w:p>
              </w:tc>
              <w:tc>
                <w:tcPr>
                  <w:tcW w:w="3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2CE162E5" w14:textId="77777777" w:rsidR="00D41818" w:rsidRPr="00256315" w:rsidRDefault="00D41818" w:rsidP="00D41818">
                  <w:pPr>
                    <w:spacing w:after="160" w:line="259" w:lineRule="auto"/>
                    <w:rPr>
                      <w:sz w:val="22"/>
                      <w:szCs w:val="22"/>
                    </w:rPr>
                  </w:pPr>
                  <w:r w:rsidRPr="00256315">
                    <w:rPr>
                      <w:sz w:val="22"/>
                      <w:szCs w:val="22"/>
                    </w:rPr>
                    <w:t>Pavadinimas</w:t>
                  </w:r>
                </w:p>
              </w:tc>
              <w:tc>
                <w:tcPr>
                  <w:tcW w:w="21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D9BA6AF" w14:textId="77777777" w:rsidR="00D41818" w:rsidRPr="00256315" w:rsidRDefault="00D41818" w:rsidP="00D41818">
                  <w:pPr>
                    <w:spacing w:after="160" w:line="259" w:lineRule="auto"/>
                    <w:rPr>
                      <w:sz w:val="22"/>
                      <w:szCs w:val="22"/>
                    </w:rPr>
                  </w:pPr>
                  <w:r w:rsidRPr="00256315">
                    <w:rPr>
                      <w:sz w:val="22"/>
                      <w:szCs w:val="22"/>
                    </w:rPr>
                    <w:t>Skaičiuojamoji darbų kaina per metus   (Eur)</w:t>
                  </w:r>
                </w:p>
              </w:tc>
              <w:tc>
                <w:tcPr>
                  <w:tcW w:w="2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75669F5" w14:textId="77777777" w:rsidR="00D41818" w:rsidRPr="00256315" w:rsidRDefault="00D41818" w:rsidP="00D41818">
                  <w:pPr>
                    <w:rPr>
                      <w:sz w:val="22"/>
                      <w:szCs w:val="22"/>
                    </w:rPr>
                  </w:pPr>
                  <w:r w:rsidRPr="00256315">
                    <w:rPr>
                      <w:sz w:val="22"/>
                      <w:szCs w:val="22"/>
                    </w:rPr>
                    <w:t>Skaičiuojamasis tarifas</w:t>
                  </w:r>
                  <w:r w:rsidRPr="00256315">
                    <w:rPr>
                      <w:b/>
                      <w:bCs/>
                      <w:sz w:val="22"/>
                      <w:szCs w:val="22"/>
                    </w:rPr>
                    <w:t>   </w:t>
                  </w:r>
                  <w:r w:rsidRPr="00256315">
                    <w:rPr>
                      <w:sz w:val="22"/>
                      <w:szCs w:val="22"/>
                    </w:rPr>
                    <w:t>1 kv. m naudingojo ploto per mėn. (Eur)</w:t>
                  </w:r>
                  <w:r w:rsidRPr="00256315">
                    <w:rPr>
                      <w:b/>
                      <w:bCs/>
                      <w:sz w:val="22"/>
                      <w:szCs w:val="22"/>
                    </w:rPr>
                    <w:t> Ta</w:t>
                  </w:r>
                </w:p>
              </w:tc>
            </w:tr>
            <w:tr w:rsidR="00D41818" w:rsidRPr="00256315" w14:paraId="2AC7CD0B" w14:textId="77777777" w:rsidTr="00D41818">
              <w:trPr>
                <w:trHeight w:val="206"/>
              </w:trPr>
              <w:tc>
                <w:tcPr>
                  <w:tcW w:w="0" w:type="auto"/>
                  <w:vMerge/>
                  <w:tcBorders>
                    <w:top w:val="single" w:sz="8" w:space="0" w:color="auto"/>
                    <w:left w:val="single" w:sz="8" w:space="0" w:color="auto"/>
                    <w:bottom w:val="single" w:sz="8" w:space="0" w:color="auto"/>
                    <w:right w:val="single" w:sz="8" w:space="0" w:color="auto"/>
                  </w:tcBorders>
                  <w:vAlign w:val="center"/>
                </w:tcPr>
                <w:p w14:paraId="6A0372A2" w14:textId="77777777" w:rsidR="00D41818" w:rsidRPr="00256315" w:rsidRDefault="00D41818" w:rsidP="00D41818">
                  <w:pPr>
                    <w:spacing w:after="160" w:line="259" w:lineRule="auto"/>
                    <w:rPr>
                      <w:sz w:val="22"/>
                      <w:szCs w:val="22"/>
                    </w:rPr>
                  </w:pPr>
                </w:p>
              </w:tc>
              <w:tc>
                <w:tcPr>
                  <w:tcW w:w="0" w:type="auto"/>
                  <w:vMerge/>
                  <w:tcBorders>
                    <w:top w:val="single" w:sz="8" w:space="0" w:color="auto"/>
                    <w:left w:val="nil"/>
                    <w:bottom w:val="single" w:sz="8" w:space="0" w:color="auto"/>
                    <w:right w:val="single" w:sz="8" w:space="0" w:color="auto"/>
                  </w:tcBorders>
                  <w:vAlign w:val="center"/>
                </w:tcPr>
                <w:p w14:paraId="2151A9CA" w14:textId="77777777" w:rsidR="00D41818" w:rsidRPr="00256315" w:rsidRDefault="00D41818" w:rsidP="00D41818">
                  <w:pPr>
                    <w:spacing w:after="160" w:line="259" w:lineRule="auto"/>
                    <w:rPr>
                      <w:sz w:val="22"/>
                      <w:szCs w:val="22"/>
                    </w:rPr>
                  </w:pP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54EB644D" w14:textId="77777777" w:rsidR="00D41818" w:rsidRPr="00256315" w:rsidRDefault="00D41818" w:rsidP="00D41818">
                  <w:pPr>
                    <w:spacing w:after="160" w:line="259" w:lineRule="auto"/>
                    <w:rPr>
                      <w:sz w:val="22"/>
                      <w:szCs w:val="22"/>
                    </w:rPr>
                  </w:pPr>
                  <w:r w:rsidRPr="00256315">
                    <w:rPr>
                      <w:sz w:val="22"/>
                      <w:szCs w:val="22"/>
                    </w:rPr>
                    <w:t>be PVM</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6573C778" w14:textId="77777777" w:rsidR="00D41818" w:rsidRPr="00256315" w:rsidRDefault="00D41818" w:rsidP="00D41818">
                  <w:pPr>
                    <w:spacing w:after="160" w:line="259" w:lineRule="auto"/>
                    <w:rPr>
                      <w:sz w:val="22"/>
                      <w:szCs w:val="22"/>
                    </w:rPr>
                  </w:pPr>
                  <w:r w:rsidRPr="00256315">
                    <w:rPr>
                      <w:sz w:val="22"/>
                      <w:szCs w:val="22"/>
                    </w:rPr>
                    <w:t>su PVM</w:t>
                  </w:r>
                </w:p>
              </w:tc>
              <w:tc>
                <w:tcPr>
                  <w:tcW w:w="1034" w:type="dxa"/>
                  <w:tcBorders>
                    <w:top w:val="nil"/>
                    <w:left w:val="nil"/>
                    <w:bottom w:val="single" w:sz="8" w:space="0" w:color="auto"/>
                    <w:right w:val="single" w:sz="8" w:space="0" w:color="auto"/>
                  </w:tcBorders>
                  <w:tcMar>
                    <w:top w:w="0" w:type="dxa"/>
                    <w:left w:w="108" w:type="dxa"/>
                    <w:bottom w:w="0" w:type="dxa"/>
                    <w:right w:w="108" w:type="dxa"/>
                  </w:tcMar>
                </w:tcPr>
                <w:p w14:paraId="25B83D35" w14:textId="77777777" w:rsidR="00D41818" w:rsidRPr="00256315" w:rsidRDefault="00D41818" w:rsidP="00D41818">
                  <w:pPr>
                    <w:spacing w:after="160" w:line="259" w:lineRule="auto"/>
                    <w:rPr>
                      <w:sz w:val="22"/>
                      <w:szCs w:val="22"/>
                    </w:rPr>
                  </w:pPr>
                  <w:r w:rsidRPr="00256315">
                    <w:rPr>
                      <w:sz w:val="22"/>
                      <w:szCs w:val="22"/>
                    </w:rPr>
                    <w:t>be PVM</w:t>
                  </w:r>
                </w:p>
              </w:tc>
              <w:tc>
                <w:tcPr>
                  <w:tcW w:w="1813" w:type="dxa"/>
                  <w:tcBorders>
                    <w:top w:val="nil"/>
                    <w:left w:val="nil"/>
                    <w:bottom w:val="single" w:sz="8" w:space="0" w:color="auto"/>
                    <w:right w:val="single" w:sz="8" w:space="0" w:color="auto"/>
                  </w:tcBorders>
                  <w:tcMar>
                    <w:top w:w="0" w:type="dxa"/>
                    <w:left w:w="108" w:type="dxa"/>
                    <w:bottom w:w="0" w:type="dxa"/>
                    <w:right w:w="108" w:type="dxa"/>
                  </w:tcMar>
                </w:tcPr>
                <w:p w14:paraId="2810E256" w14:textId="77777777" w:rsidR="00D41818" w:rsidRPr="00256315" w:rsidRDefault="00D41818" w:rsidP="00D41818">
                  <w:pPr>
                    <w:spacing w:after="160" w:line="259" w:lineRule="auto"/>
                    <w:rPr>
                      <w:sz w:val="22"/>
                      <w:szCs w:val="22"/>
                    </w:rPr>
                  </w:pPr>
                  <w:r w:rsidRPr="00256315">
                    <w:rPr>
                      <w:sz w:val="22"/>
                      <w:szCs w:val="22"/>
                    </w:rPr>
                    <w:t>su PVM</w:t>
                  </w:r>
                </w:p>
              </w:tc>
            </w:tr>
            <w:tr w:rsidR="00D41818" w:rsidRPr="00256315" w14:paraId="24FFC96F" w14:textId="77777777" w:rsidTr="00D51D85">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11E3A1" w14:textId="77777777" w:rsidR="00D41818" w:rsidRPr="00256315" w:rsidRDefault="00D41818" w:rsidP="00D41818">
                  <w:pPr>
                    <w:spacing w:after="160" w:line="259" w:lineRule="auto"/>
                    <w:rPr>
                      <w:sz w:val="22"/>
                      <w:szCs w:val="22"/>
                    </w:rPr>
                  </w:pPr>
                  <w:r w:rsidRPr="00256315">
                    <w:rPr>
                      <w:sz w:val="22"/>
                      <w:szCs w:val="22"/>
                    </w:rPr>
                    <w:t>1.</w:t>
                  </w:r>
                </w:p>
              </w:tc>
              <w:tc>
                <w:tcPr>
                  <w:tcW w:w="3160" w:type="dxa"/>
                  <w:tcBorders>
                    <w:top w:val="nil"/>
                    <w:left w:val="nil"/>
                    <w:bottom w:val="single" w:sz="8" w:space="0" w:color="auto"/>
                    <w:right w:val="single" w:sz="8" w:space="0" w:color="auto"/>
                  </w:tcBorders>
                  <w:tcMar>
                    <w:top w:w="0" w:type="dxa"/>
                    <w:left w:w="108" w:type="dxa"/>
                    <w:bottom w:w="0" w:type="dxa"/>
                    <w:right w:w="108" w:type="dxa"/>
                  </w:tcMar>
                </w:tcPr>
                <w:p w14:paraId="1F568004" w14:textId="77777777" w:rsidR="00D41818" w:rsidRPr="00256315" w:rsidRDefault="00D41818" w:rsidP="00D41818">
                  <w:pPr>
                    <w:spacing w:after="160" w:line="259" w:lineRule="auto"/>
                    <w:rPr>
                      <w:sz w:val="22"/>
                      <w:szCs w:val="22"/>
                    </w:rPr>
                  </w:pPr>
                  <w:r w:rsidRPr="00256315">
                    <w:rPr>
                      <w:sz w:val="22"/>
                      <w:szCs w:val="22"/>
                    </w:rPr>
                    <w:t>Bendrojo naudojimo objektų administravimo darbai (iš viso) (pagal rekomenduojamas laiko sąnaudas)</w:t>
                  </w:r>
                  <w:r w:rsidRPr="00256315">
                    <w:rPr>
                      <w:b/>
                      <w:bCs/>
                      <w:sz w:val="22"/>
                      <w:szCs w:val="22"/>
                    </w:rPr>
                    <w:t> </w:t>
                  </w:r>
                  <w:proofErr w:type="spellStart"/>
                  <w:r w:rsidRPr="00256315">
                    <w:rPr>
                      <w:b/>
                      <w:bCs/>
                      <w:sz w:val="22"/>
                      <w:szCs w:val="22"/>
                    </w:rPr>
                    <w:t>Ia</w:t>
                  </w:r>
                  <w:proofErr w:type="spellEnd"/>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5479DBD7" w14:textId="77777777" w:rsidR="00D41818" w:rsidRPr="00256315" w:rsidRDefault="00A20020" w:rsidP="00D41818">
                  <w:pPr>
                    <w:spacing w:after="160" w:line="259" w:lineRule="auto"/>
                    <w:rPr>
                      <w:sz w:val="22"/>
                      <w:szCs w:val="22"/>
                    </w:rPr>
                  </w:pPr>
                  <w:r w:rsidRPr="00256315">
                    <w:rPr>
                      <w:sz w:val="22"/>
                      <w:szCs w:val="22"/>
                    </w:rPr>
                    <w:t>1457,80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61F39E65" w14:textId="77777777" w:rsidR="00D41818" w:rsidRPr="00256315" w:rsidRDefault="001F1863" w:rsidP="00D41818">
                  <w:pPr>
                    <w:spacing w:after="160" w:line="259" w:lineRule="auto"/>
                    <w:rPr>
                      <w:sz w:val="22"/>
                      <w:szCs w:val="22"/>
                    </w:rPr>
                  </w:pPr>
                  <w:r w:rsidRPr="00256315">
                    <w:rPr>
                      <w:sz w:val="22"/>
                      <w:szCs w:val="22"/>
                    </w:rPr>
                    <w:t>1763,94</w:t>
                  </w:r>
                </w:p>
              </w:tc>
              <w:tc>
                <w:tcPr>
                  <w:tcW w:w="1034" w:type="dxa"/>
                  <w:tcBorders>
                    <w:top w:val="nil"/>
                    <w:left w:val="nil"/>
                    <w:bottom w:val="single" w:sz="8" w:space="0" w:color="auto"/>
                    <w:right w:val="single" w:sz="8" w:space="0" w:color="auto"/>
                  </w:tcBorders>
                  <w:tcMar>
                    <w:top w:w="0" w:type="dxa"/>
                    <w:left w:w="108" w:type="dxa"/>
                    <w:bottom w:w="0" w:type="dxa"/>
                    <w:right w:w="108" w:type="dxa"/>
                  </w:tcMar>
                </w:tcPr>
                <w:p w14:paraId="5A1079FB" w14:textId="77777777" w:rsidR="00D41818" w:rsidRPr="00256315" w:rsidRDefault="00D41818" w:rsidP="00D41818">
                  <w:pPr>
                    <w:spacing w:after="160" w:line="259" w:lineRule="auto"/>
                    <w:rPr>
                      <w:sz w:val="22"/>
                      <w:szCs w:val="22"/>
                    </w:rPr>
                  </w:pPr>
                  <w:r w:rsidRPr="00256315">
                    <w:rPr>
                      <w:sz w:val="22"/>
                      <w:szCs w:val="22"/>
                    </w:rPr>
                    <w:t>0,0</w:t>
                  </w:r>
                  <w:r w:rsidR="00A20020" w:rsidRPr="00256315">
                    <w:rPr>
                      <w:sz w:val="22"/>
                      <w:szCs w:val="22"/>
                    </w:rPr>
                    <w:t>67</w:t>
                  </w:r>
                </w:p>
              </w:tc>
              <w:tc>
                <w:tcPr>
                  <w:tcW w:w="1813" w:type="dxa"/>
                  <w:tcBorders>
                    <w:top w:val="nil"/>
                    <w:left w:val="nil"/>
                    <w:bottom w:val="single" w:sz="8" w:space="0" w:color="auto"/>
                    <w:right w:val="single" w:sz="8" w:space="0" w:color="auto"/>
                  </w:tcBorders>
                  <w:tcMar>
                    <w:top w:w="0" w:type="dxa"/>
                    <w:left w:w="108" w:type="dxa"/>
                    <w:bottom w:w="0" w:type="dxa"/>
                    <w:right w:w="108" w:type="dxa"/>
                  </w:tcMar>
                </w:tcPr>
                <w:p w14:paraId="45248499" w14:textId="77777777" w:rsidR="00D41818" w:rsidRPr="00256315" w:rsidRDefault="00D41818" w:rsidP="00D41818">
                  <w:pPr>
                    <w:spacing w:after="160" w:line="259" w:lineRule="auto"/>
                    <w:rPr>
                      <w:sz w:val="22"/>
                      <w:szCs w:val="22"/>
                    </w:rPr>
                  </w:pPr>
                  <w:r w:rsidRPr="00256315">
                    <w:rPr>
                      <w:sz w:val="22"/>
                      <w:szCs w:val="22"/>
                    </w:rPr>
                    <w:t>0,</w:t>
                  </w:r>
                  <w:r w:rsidR="001F1863" w:rsidRPr="00256315">
                    <w:rPr>
                      <w:sz w:val="22"/>
                      <w:szCs w:val="22"/>
                    </w:rPr>
                    <w:t>081</w:t>
                  </w:r>
                </w:p>
              </w:tc>
            </w:tr>
            <w:tr w:rsidR="00D41818" w:rsidRPr="00256315" w14:paraId="243431E3" w14:textId="77777777" w:rsidTr="00D51D85">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DF77BA" w14:textId="77777777" w:rsidR="00D41818" w:rsidRPr="00256315" w:rsidRDefault="00D41818" w:rsidP="00D41818">
                  <w:pPr>
                    <w:spacing w:after="160" w:line="259" w:lineRule="auto"/>
                    <w:rPr>
                      <w:sz w:val="22"/>
                      <w:szCs w:val="22"/>
                    </w:rPr>
                  </w:pPr>
                  <w:r w:rsidRPr="00256315">
                    <w:rPr>
                      <w:sz w:val="22"/>
                      <w:szCs w:val="22"/>
                    </w:rPr>
                    <w:t>11.1.</w:t>
                  </w:r>
                </w:p>
              </w:tc>
              <w:tc>
                <w:tcPr>
                  <w:tcW w:w="3160" w:type="dxa"/>
                  <w:tcBorders>
                    <w:top w:val="nil"/>
                    <w:left w:val="nil"/>
                    <w:bottom w:val="single" w:sz="8" w:space="0" w:color="auto"/>
                    <w:right w:val="single" w:sz="8" w:space="0" w:color="auto"/>
                  </w:tcBorders>
                  <w:tcMar>
                    <w:top w:w="0" w:type="dxa"/>
                    <w:left w:w="108" w:type="dxa"/>
                    <w:bottom w:w="0" w:type="dxa"/>
                    <w:right w:w="108" w:type="dxa"/>
                  </w:tcMar>
                </w:tcPr>
                <w:p w14:paraId="2F00CA3A" w14:textId="77777777" w:rsidR="00D41818" w:rsidRPr="00256315" w:rsidRDefault="00D41818" w:rsidP="00D41818">
                  <w:pPr>
                    <w:spacing w:after="160" w:line="259" w:lineRule="auto"/>
                    <w:rPr>
                      <w:sz w:val="22"/>
                      <w:szCs w:val="22"/>
                    </w:rPr>
                  </w:pPr>
                  <w:r w:rsidRPr="00256315">
                    <w:rPr>
                      <w:sz w:val="22"/>
                      <w:szCs w:val="22"/>
                    </w:rPr>
                    <w:t>Bendrojo naudojimo objektų administratoriaus darbai   </w:t>
                  </w:r>
                  <w:proofErr w:type="spellStart"/>
                  <w:r w:rsidRPr="00256315">
                    <w:rPr>
                      <w:b/>
                      <w:bCs/>
                      <w:sz w:val="22"/>
                      <w:szCs w:val="22"/>
                    </w:rPr>
                    <w:t>Iak</w:t>
                  </w:r>
                  <w:proofErr w:type="spellEnd"/>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4C5ADAA0" w14:textId="77777777" w:rsidR="00D41818" w:rsidRPr="00256315" w:rsidRDefault="00A20020" w:rsidP="00D41818">
                  <w:pPr>
                    <w:spacing w:after="160" w:line="259" w:lineRule="auto"/>
                    <w:rPr>
                      <w:sz w:val="22"/>
                      <w:szCs w:val="22"/>
                    </w:rPr>
                  </w:pPr>
                  <w:r w:rsidRPr="00256315">
                    <w:rPr>
                      <w:sz w:val="22"/>
                      <w:szCs w:val="22"/>
                    </w:rPr>
                    <w:t>1325,27</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548217DF" w14:textId="77777777" w:rsidR="00D41818" w:rsidRPr="00256315" w:rsidRDefault="001F1863" w:rsidP="00D41818">
                  <w:pPr>
                    <w:spacing w:after="160" w:line="259" w:lineRule="auto"/>
                    <w:rPr>
                      <w:sz w:val="22"/>
                      <w:szCs w:val="22"/>
                    </w:rPr>
                  </w:pPr>
                  <w:r w:rsidRPr="00256315">
                    <w:rPr>
                      <w:sz w:val="22"/>
                      <w:szCs w:val="22"/>
                    </w:rPr>
                    <w:t>1603,57</w:t>
                  </w:r>
                </w:p>
              </w:tc>
              <w:tc>
                <w:tcPr>
                  <w:tcW w:w="1034" w:type="dxa"/>
                  <w:tcBorders>
                    <w:top w:val="nil"/>
                    <w:left w:val="nil"/>
                    <w:bottom w:val="single" w:sz="8" w:space="0" w:color="auto"/>
                    <w:right w:val="single" w:sz="8" w:space="0" w:color="auto"/>
                  </w:tcBorders>
                  <w:tcMar>
                    <w:top w:w="0" w:type="dxa"/>
                    <w:left w:w="108" w:type="dxa"/>
                    <w:bottom w:w="0" w:type="dxa"/>
                    <w:right w:w="108" w:type="dxa"/>
                  </w:tcMar>
                </w:tcPr>
                <w:p w14:paraId="1DDAA77F" w14:textId="77777777" w:rsidR="00D41818" w:rsidRPr="00256315" w:rsidRDefault="00D41818" w:rsidP="00D41818">
                  <w:pPr>
                    <w:spacing w:after="160" w:line="259" w:lineRule="auto"/>
                    <w:rPr>
                      <w:sz w:val="22"/>
                      <w:szCs w:val="22"/>
                    </w:rPr>
                  </w:pPr>
                  <w:r w:rsidRPr="00256315">
                    <w:rPr>
                      <w:sz w:val="22"/>
                      <w:szCs w:val="22"/>
                    </w:rPr>
                    <w:t> </w:t>
                  </w:r>
                </w:p>
              </w:tc>
              <w:tc>
                <w:tcPr>
                  <w:tcW w:w="1813" w:type="dxa"/>
                  <w:tcBorders>
                    <w:top w:val="nil"/>
                    <w:left w:val="nil"/>
                    <w:bottom w:val="single" w:sz="8" w:space="0" w:color="auto"/>
                    <w:right w:val="single" w:sz="8" w:space="0" w:color="auto"/>
                  </w:tcBorders>
                  <w:tcMar>
                    <w:top w:w="0" w:type="dxa"/>
                    <w:left w:w="108" w:type="dxa"/>
                    <w:bottom w:w="0" w:type="dxa"/>
                    <w:right w:w="108" w:type="dxa"/>
                  </w:tcMar>
                </w:tcPr>
                <w:p w14:paraId="685872AC" w14:textId="77777777" w:rsidR="00D41818" w:rsidRPr="00256315" w:rsidRDefault="00D41818" w:rsidP="00D41818">
                  <w:pPr>
                    <w:spacing w:after="160" w:line="259" w:lineRule="auto"/>
                    <w:rPr>
                      <w:sz w:val="22"/>
                      <w:szCs w:val="22"/>
                    </w:rPr>
                  </w:pPr>
                  <w:r w:rsidRPr="00256315">
                    <w:rPr>
                      <w:sz w:val="22"/>
                      <w:szCs w:val="22"/>
                    </w:rPr>
                    <w:t> </w:t>
                  </w:r>
                </w:p>
              </w:tc>
            </w:tr>
            <w:tr w:rsidR="00D41818" w:rsidRPr="00256315" w14:paraId="222189D7" w14:textId="77777777" w:rsidTr="00D51D85">
              <w:trPr>
                <w:trHeight w:val="439"/>
              </w:trPr>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6A9F8B" w14:textId="77777777" w:rsidR="00D41818" w:rsidRPr="00256315" w:rsidRDefault="00D41818" w:rsidP="00D41818">
                  <w:pPr>
                    <w:spacing w:after="160" w:line="259" w:lineRule="auto"/>
                    <w:rPr>
                      <w:sz w:val="22"/>
                      <w:szCs w:val="22"/>
                    </w:rPr>
                  </w:pPr>
                  <w:r w:rsidRPr="00256315">
                    <w:rPr>
                      <w:sz w:val="22"/>
                      <w:szCs w:val="22"/>
                    </w:rPr>
                    <w:t>1.2.</w:t>
                  </w:r>
                </w:p>
              </w:tc>
              <w:tc>
                <w:tcPr>
                  <w:tcW w:w="3160" w:type="dxa"/>
                  <w:tcBorders>
                    <w:top w:val="nil"/>
                    <w:left w:val="nil"/>
                    <w:bottom w:val="single" w:sz="8" w:space="0" w:color="auto"/>
                    <w:right w:val="single" w:sz="8" w:space="0" w:color="auto"/>
                  </w:tcBorders>
                  <w:tcMar>
                    <w:top w:w="0" w:type="dxa"/>
                    <w:left w:w="108" w:type="dxa"/>
                    <w:bottom w:w="0" w:type="dxa"/>
                    <w:right w:w="108" w:type="dxa"/>
                  </w:tcMar>
                </w:tcPr>
                <w:p w14:paraId="7277554F" w14:textId="77777777" w:rsidR="00D41818" w:rsidRPr="00256315" w:rsidRDefault="00D41818" w:rsidP="00D41818">
                  <w:pPr>
                    <w:spacing w:after="160" w:line="259" w:lineRule="auto"/>
                    <w:rPr>
                      <w:sz w:val="22"/>
                      <w:szCs w:val="22"/>
                    </w:rPr>
                  </w:pPr>
                  <w:r w:rsidRPr="00256315">
                    <w:rPr>
                      <w:sz w:val="22"/>
                      <w:szCs w:val="22"/>
                    </w:rPr>
                    <w:t>Kiti nenumatyti darbai    </w:t>
                  </w:r>
                  <w:proofErr w:type="spellStart"/>
                  <w:r w:rsidRPr="00256315">
                    <w:rPr>
                      <w:b/>
                      <w:bCs/>
                      <w:sz w:val="22"/>
                      <w:szCs w:val="22"/>
                    </w:rPr>
                    <w:t>Ian</w:t>
                  </w:r>
                  <w:proofErr w:type="spellEnd"/>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6710B248" w14:textId="77777777" w:rsidR="00D41818" w:rsidRPr="00256315" w:rsidRDefault="00A20020" w:rsidP="00D41818">
                  <w:pPr>
                    <w:spacing w:after="160" w:line="259" w:lineRule="auto"/>
                    <w:rPr>
                      <w:sz w:val="22"/>
                      <w:szCs w:val="22"/>
                    </w:rPr>
                  </w:pPr>
                  <w:r w:rsidRPr="00256315">
                    <w:rPr>
                      <w:sz w:val="22"/>
                      <w:szCs w:val="22"/>
                    </w:rPr>
                    <w:t>132,53</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06945FD5" w14:textId="77777777" w:rsidR="00D41818" w:rsidRPr="00256315" w:rsidRDefault="001F1863" w:rsidP="00D41818">
                  <w:pPr>
                    <w:spacing w:after="160" w:line="259" w:lineRule="auto"/>
                    <w:rPr>
                      <w:sz w:val="22"/>
                      <w:szCs w:val="22"/>
                    </w:rPr>
                  </w:pPr>
                  <w:r w:rsidRPr="00256315">
                    <w:rPr>
                      <w:sz w:val="22"/>
                      <w:szCs w:val="22"/>
                    </w:rPr>
                    <w:t>160,36</w:t>
                  </w:r>
                </w:p>
              </w:tc>
              <w:tc>
                <w:tcPr>
                  <w:tcW w:w="1034" w:type="dxa"/>
                  <w:tcBorders>
                    <w:top w:val="nil"/>
                    <w:left w:val="nil"/>
                    <w:bottom w:val="single" w:sz="8" w:space="0" w:color="auto"/>
                    <w:right w:val="single" w:sz="8" w:space="0" w:color="auto"/>
                  </w:tcBorders>
                  <w:tcMar>
                    <w:top w:w="0" w:type="dxa"/>
                    <w:left w:w="108" w:type="dxa"/>
                    <w:bottom w:w="0" w:type="dxa"/>
                    <w:right w:w="108" w:type="dxa"/>
                  </w:tcMar>
                </w:tcPr>
                <w:p w14:paraId="052D2288" w14:textId="77777777" w:rsidR="00D41818" w:rsidRPr="00256315" w:rsidRDefault="00D41818" w:rsidP="00D41818">
                  <w:pPr>
                    <w:spacing w:after="160" w:line="259" w:lineRule="auto"/>
                    <w:rPr>
                      <w:sz w:val="22"/>
                      <w:szCs w:val="22"/>
                    </w:rPr>
                  </w:pPr>
                </w:p>
              </w:tc>
              <w:tc>
                <w:tcPr>
                  <w:tcW w:w="1813" w:type="dxa"/>
                  <w:vAlign w:val="center"/>
                </w:tcPr>
                <w:p w14:paraId="2F927F11" w14:textId="77777777" w:rsidR="00D41818" w:rsidRPr="00256315" w:rsidRDefault="00D41818" w:rsidP="00D41818">
                  <w:pPr>
                    <w:spacing w:after="160" w:line="259" w:lineRule="auto"/>
                    <w:rPr>
                      <w:sz w:val="22"/>
                      <w:szCs w:val="22"/>
                    </w:rPr>
                  </w:pPr>
                </w:p>
              </w:tc>
            </w:tr>
          </w:tbl>
          <w:p w14:paraId="7BB1CEB3" w14:textId="77777777" w:rsidR="00BB4226" w:rsidRPr="00256315" w:rsidRDefault="00BB4226" w:rsidP="000402DB">
            <w:pPr>
              <w:tabs>
                <w:tab w:val="left" w:pos="0"/>
              </w:tabs>
              <w:jc w:val="both"/>
              <w:rPr>
                <w:sz w:val="22"/>
              </w:rPr>
            </w:pPr>
          </w:p>
          <w:p w14:paraId="6F53A1CF" w14:textId="77777777" w:rsidR="004810B4" w:rsidRPr="00256315" w:rsidRDefault="004810B4" w:rsidP="000402DB">
            <w:pPr>
              <w:tabs>
                <w:tab w:val="left" w:pos="0"/>
              </w:tabs>
              <w:jc w:val="both"/>
              <w:rPr>
                <w:sz w:val="22"/>
              </w:rPr>
            </w:pPr>
          </w:p>
          <w:p w14:paraId="76737AE8" w14:textId="77777777" w:rsidR="00AA560D" w:rsidRPr="00256315" w:rsidRDefault="004810B4" w:rsidP="004810B4">
            <w:pPr>
              <w:tabs>
                <w:tab w:val="left" w:pos="0"/>
              </w:tabs>
              <w:jc w:val="both"/>
              <w:rPr>
                <w:sz w:val="22"/>
              </w:rPr>
            </w:pPr>
            <w:r w:rsidRPr="00256315">
              <w:rPr>
                <w:sz w:val="22"/>
              </w:rPr>
              <w:t xml:space="preserve">K – koeficientas, įvertinantis pastato eksploatavimo laiką, buitinių patogumų lygį ir plotą (Aprašo 2 priedas). Koeficientas apskaičiuotas įvertinus Rekomendacijose pateiktus rekomenduojamus administravimo mokesčio tarifų koeficientų dydžius K = K2 x K3 x K4. </w:t>
            </w:r>
          </w:p>
          <w:p w14:paraId="473F0819" w14:textId="77777777" w:rsidR="00AA560D" w:rsidRPr="00256315" w:rsidRDefault="00AA560D" w:rsidP="004810B4">
            <w:pPr>
              <w:tabs>
                <w:tab w:val="left" w:pos="0"/>
              </w:tabs>
              <w:jc w:val="both"/>
              <w:rPr>
                <w:sz w:val="22"/>
              </w:rPr>
            </w:pPr>
            <w:r w:rsidRPr="00256315">
              <w:rPr>
                <w:sz w:val="22"/>
              </w:rPr>
              <w:t>2 lentelėje nurodytų koeficientų K2, K3, K4 reikšmės nustatytos vadovaujantis rekomendacijose nurodytų administravimo mokesčio tarifų koeficientų  reikšmėmis pastatams, kurių plotai iki 1000 kv. m, 1000–3000 kv. m. ir daugiau kaip 3000 kv. m.</w:t>
            </w:r>
          </w:p>
          <w:p w14:paraId="58267DA0" w14:textId="77777777" w:rsidR="004810B4" w:rsidRPr="00256315" w:rsidRDefault="004810B4" w:rsidP="004810B4">
            <w:pPr>
              <w:tabs>
                <w:tab w:val="left" w:pos="0"/>
              </w:tabs>
              <w:jc w:val="both"/>
              <w:rPr>
                <w:sz w:val="22"/>
              </w:rPr>
            </w:pPr>
            <w:r w:rsidRPr="00256315">
              <w:rPr>
                <w:sz w:val="22"/>
              </w:rPr>
              <w:t xml:space="preserve">Rekomendacijose nurodytos administravimo mokesčio tarifo koeficientų, įvertinančių pastatų eksploatavimo laiką (K2), administravimo mokesčio tarifų koeficientų, įvertinančių buitinių patogumų lygį (K3) ir administravimo mokesčio tarifų koeficientų, įvertinančių pastatų plotą (K4), reikšmės pateikiamos </w:t>
            </w:r>
            <w:r w:rsidR="00AA560D" w:rsidRPr="00256315">
              <w:rPr>
                <w:sz w:val="22"/>
              </w:rPr>
              <w:t>Aprašo 2</w:t>
            </w:r>
            <w:r w:rsidRPr="00256315">
              <w:rPr>
                <w:sz w:val="22"/>
              </w:rPr>
              <w:t xml:space="preserve">, </w:t>
            </w:r>
            <w:r w:rsidR="00AA560D" w:rsidRPr="00256315">
              <w:rPr>
                <w:sz w:val="22"/>
              </w:rPr>
              <w:t>3 ir</w:t>
            </w:r>
            <w:r w:rsidRPr="00256315">
              <w:rPr>
                <w:sz w:val="22"/>
              </w:rPr>
              <w:t xml:space="preserve"> </w:t>
            </w:r>
            <w:r w:rsidR="00AA560D" w:rsidRPr="00256315">
              <w:rPr>
                <w:sz w:val="22"/>
              </w:rPr>
              <w:t>4</w:t>
            </w:r>
            <w:r w:rsidRPr="00256315">
              <w:rPr>
                <w:sz w:val="22"/>
              </w:rPr>
              <w:t xml:space="preserve"> lentelėse.</w:t>
            </w:r>
          </w:p>
          <w:p w14:paraId="57AE3518" w14:textId="77777777" w:rsidR="00AA560D" w:rsidRPr="00256315" w:rsidRDefault="00AA560D" w:rsidP="00AA560D">
            <w:pPr>
              <w:tabs>
                <w:tab w:val="left" w:pos="0"/>
              </w:tabs>
              <w:jc w:val="both"/>
              <w:rPr>
                <w:sz w:val="22"/>
              </w:rPr>
            </w:pPr>
            <w:r w:rsidRPr="00256315">
              <w:rPr>
                <w:sz w:val="22"/>
              </w:rPr>
              <w:t>Koeficientas K2: taikomas Rekomendacijų 4 priede (Aprašo 2 lentelėje) koeficientas – 1,10 (daugiau kaip 35 metai, Jurbarko r.</w:t>
            </w:r>
            <w:r w:rsidR="00126C8B" w:rsidRPr="00256315">
              <w:rPr>
                <w:sz w:val="22"/>
              </w:rPr>
              <w:t xml:space="preserve"> sav.</w:t>
            </w:r>
            <w:r w:rsidRPr="00256315">
              <w:rPr>
                <w:sz w:val="22"/>
              </w:rPr>
              <w:t xml:space="preserve"> namai).</w:t>
            </w:r>
          </w:p>
          <w:p w14:paraId="5137CEFB" w14:textId="77777777" w:rsidR="00AA560D" w:rsidRPr="00256315" w:rsidRDefault="00AA560D" w:rsidP="00AA560D">
            <w:pPr>
              <w:tabs>
                <w:tab w:val="left" w:pos="0"/>
              </w:tabs>
              <w:jc w:val="both"/>
              <w:rPr>
                <w:sz w:val="22"/>
              </w:rPr>
            </w:pPr>
            <w:r w:rsidRPr="00256315">
              <w:rPr>
                <w:sz w:val="22"/>
              </w:rPr>
              <w:t>Koeficientas K3: taikomas koeficientas – 1,00 Rekomendacijų 5 priede (</w:t>
            </w:r>
            <w:r w:rsidR="008C1B70" w:rsidRPr="00256315">
              <w:rPr>
                <w:sz w:val="22"/>
              </w:rPr>
              <w:t>Aprašo 3</w:t>
            </w:r>
            <w:r w:rsidRPr="00256315">
              <w:rPr>
                <w:sz w:val="22"/>
              </w:rPr>
              <w:t xml:space="preserve"> lentelėje) koeficientas</w:t>
            </w:r>
            <w:r w:rsidR="008C1B70" w:rsidRPr="00256315">
              <w:rPr>
                <w:sz w:val="22"/>
              </w:rPr>
              <w:t>.</w:t>
            </w:r>
          </w:p>
          <w:p w14:paraId="650C5749" w14:textId="77777777" w:rsidR="00AA560D" w:rsidRPr="00256315" w:rsidRDefault="00AA560D" w:rsidP="00AA560D">
            <w:pPr>
              <w:tabs>
                <w:tab w:val="left" w:pos="0"/>
              </w:tabs>
              <w:jc w:val="both"/>
              <w:rPr>
                <w:sz w:val="22"/>
              </w:rPr>
            </w:pPr>
            <w:r w:rsidRPr="00256315">
              <w:rPr>
                <w:sz w:val="22"/>
              </w:rPr>
              <w:t xml:space="preserve">Koeficientas K4 (daugiabučių gyvenamųjų namų bendrojo naudojimo objektų administravimo mokesčių tarifo koeficientas, </w:t>
            </w:r>
            <w:r w:rsidR="008C1B70" w:rsidRPr="00256315">
              <w:rPr>
                <w:sz w:val="22"/>
              </w:rPr>
              <w:t>į</w:t>
            </w:r>
            <w:r w:rsidRPr="00256315">
              <w:rPr>
                <w:sz w:val="22"/>
              </w:rPr>
              <w:t>vertinantis pastatų plotą)</w:t>
            </w:r>
            <w:r w:rsidR="008C1B70" w:rsidRPr="00256315">
              <w:t xml:space="preserve"> </w:t>
            </w:r>
            <w:r w:rsidR="008C1B70" w:rsidRPr="00256315">
              <w:rPr>
                <w:sz w:val="22"/>
              </w:rPr>
              <w:t>(Aprašo 7 lentelė)</w:t>
            </w:r>
            <w:r w:rsidRPr="00256315">
              <w:rPr>
                <w:sz w:val="22"/>
              </w:rPr>
              <w:t>:</w:t>
            </w:r>
          </w:p>
          <w:p w14:paraId="257D7F23" w14:textId="77777777" w:rsidR="008C1B70" w:rsidRPr="00256315" w:rsidRDefault="008C1B70" w:rsidP="008C1B70">
            <w:pPr>
              <w:tabs>
                <w:tab w:val="left" w:pos="0"/>
              </w:tabs>
              <w:jc w:val="both"/>
              <w:rPr>
                <w:sz w:val="22"/>
              </w:rPr>
            </w:pPr>
            <w:r w:rsidRPr="00256315">
              <w:rPr>
                <w:sz w:val="22"/>
              </w:rPr>
              <w:t xml:space="preserve">namams, kurių plotas iki 1000 kv. m, taikomas Rekomendacijų 6 priede </w:t>
            </w:r>
            <w:proofErr w:type="spellStart"/>
            <w:r w:rsidRPr="00256315">
              <w:rPr>
                <w:sz w:val="22"/>
              </w:rPr>
              <w:t>koef</w:t>
            </w:r>
            <w:proofErr w:type="spellEnd"/>
            <w:r w:rsidRPr="00256315">
              <w:rPr>
                <w:sz w:val="22"/>
              </w:rPr>
              <w:t xml:space="preserve">. – 1,45; </w:t>
            </w:r>
          </w:p>
          <w:p w14:paraId="5A831F9B" w14:textId="77777777" w:rsidR="008C1B70" w:rsidRPr="00256315" w:rsidRDefault="008C1B70" w:rsidP="008C1B70">
            <w:pPr>
              <w:tabs>
                <w:tab w:val="left" w:pos="0"/>
              </w:tabs>
              <w:jc w:val="both"/>
              <w:rPr>
                <w:sz w:val="22"/>
              </w:rPr>
            </w:pPr>
            <w:r w:rsidRPr="00256315">
              <w:rPr>
                <w:sz w:val="22"/>
              </w:rPr>
              <w:t xml:space="preserve">namams, kurių plotas 1001–3000 kv. m, taikomas  Rekomendacijų 6 priede </w:t>
            </w:r>
            <w:proofErr w:type="spellStart"/>
            <w:r w:rsidRPr="00256315">
              <w:rPr>
                <w:sz w:val="22"/>
              </w:rPr>
              <w:t>koef</w:t>
            </w:r>
            <w:proofErr w:type="spellEnd"/>
            <w:r w:rsidRPr="00256315">
              <w:rPr>
                <w:sz w:val="22"/>
              </w:rPr>
              <w:t>.  – 1,25;</w:t>
            </w:r>
          </w:p>
          <w:p w14:paraId="7360587E" w14:textId="77777777" w:rsidR="004810B4" w:rsidRPr="00256315" w:rsidRDefault="008C1B70" w:rsidP="008C1B70">
            <w:pPr>
              <w:tabs>
                <w:tab w:val="left" w:pos="0"/>
              </w:tabs>
              <w:jc w:val="both"/>
              <w:rPr>
                <w:sz w:val="22"/>
              </w:rPr>
            </w:pPr>
            <w:r w:rsidRPr="00256315">
              <w:rPr>
                <w:sz w:val="22"/>
              </w:rPr>
              <w:t xml:space="preserve">namams, kurių plotas didesnis kaip 3000 kv. m, taikomas  Rekomendacijų 6 priede </w:t>
            </w:r>
            <w:proofErr w:type="spellStart"/>
            <w:r w:rsidRPr="00256315">
              <w:rPr>
                <w:sz w:val="22"/>
              </w:rPr>
              <w:t>koef</w:t>
            </w:r>
            <w:proofErr w:type="spellEnd"/>
            <w:r w:rsidRPr="00256315">
              <w:rPr>
                <w:sz w:val="22"/>
              </w:rPr>
              <w:t>. – 0,95.</w:t>
            </w:r>
          </w:p>
          <w:p w14:paraId="522FDC26" w14:textId="77777777" w:rsidR="008C1B70" w:rsidRPr="00256315" w:rsidRDefault="008C1B70" w:rsidP="008C1B70">
            <w:pPr>
              <w:tabs>
                <w:tab w:val="left" w:pos="0"/>
              </w:tabs>
              <w:jc w:val="both"/>
              <w:rPr>
                <w:b/>
                <w:bCs/>
                <w:sz w:val="22"/>
              </w:rPr>
            </w:pPr>
            <w:proofErr w:type="spellStart"/>
            <w:r w:rsidRPr="00256315">
              <w:rPr>
                <w:b/>
                <w:bCs/>
                <w:sz w:val="22"/>
              </w:rPr>
              <w:t>Tap</w:t>
            </w:r>
            <w:proofErr w:type="spellEnd"/>
            <w:r w:rsidRPr="00256315">
              <w:rPr>
                <w:b/>
                <w:bCs/>
                <w:sz w:val="22"/>
              </w:rPr>
              <w:t xml:space="preserve"> = Ta x K</w:t>
            </w:r>
          </w:p>
          <w:p w14:paraId="111D79BF" w14:textId="77777777" w:rsidR="008C1B70" w:rsidRPr="00256315" w:rsidRDefault="008C1B70" w:rsidP="008C1B70">
            <w:pPr>
              <w:tabs>
                <w:tab w:val="left" w:pos="0"/>
              </w:tabs>
              <w:jc w:val="both"/>
              <w:rPr>
                <w:sz w:val="22"/>
              </w:rPr>
            </w:pPr>
            <w:proofErr w:type="spellStart"/>
            <w:r w:rsidRPr="00256315">
              <w:rPr>
                <w:b/>
                <w:bCs/>
                <w:sz w:val="22"/>
              </w:rPr>
              <w:t>Tap</w:t>
            </w:r>
            <w:proofErr w:type="spellEnd"/>
            <w:r w:rsidRPr="00256315">
              <w:rPr>
                <w:b/>
                <w:bCs/>
                <w:sz w:val="22"/>
              </w:rPr>
              <w:t>= 0,0</w:t>
            </w:r>
            <w:r w:rsidR="00A01271" w:rsidRPr="00256315">
              <w:rPr>
                <w:b/>
                <w:bCs/>
                <w:sz w:val="22"/>
              </w:rPr>
              <w:t>67</w:t>
            </w:r>
            <w:r w:rsidRPr="00256315">
              <w:rPr>
                <w:b/>
                <w:bCs/>
                <w:sz w:val="22"/>
              </w:rPr>
              <w:t xml:space="preserve"> x 1,595 = 0,1</w:t>
            </w:r>
            <w:r w:rsidR="00A01271" w:rsidRPr="00256315">
              <w:rPr>
                <w:b/>
                <w:bCs/>
                <w:sz w:val="22"/>
              </w:rPr>
              <w:t>068</w:t>
            </w:r>
            <w:r w:rsidRPr="00256315">
              <w:rPr>
                <w:sz w:val="22"/>
              </w:rPr>
              <w:t xml:space="preserve"> namams, kurių plotas iki 1000 kv. m</w:t>
            </w:r>
          </w:p>
          <w:p w14:paraId="32D442FE" w14:textId="77777777" w:rsidR="008C1B70" w:rsidRPr="00256315" w:rsidRDefault="008C1B70" w:rsidP="008C1B70">
            <w:pPr>
              <w:tabs>
                <w:tab w:val="left" w:pos="0"/>
              </w:tabs>
              <w:jc w:val="both"/>
              <w:rPr>
                <w:sz w:val="22"/>
              </w:rPr>
            </w:pPr>
            <w:proofErr w:type="spellStart"/>
            <w:r w:rsidRPr="00256315">
              <w:rPr>
                <w:b/>
                <w:bCs/>
                <w:sz w:val="22"/>
              </w:rPr>
              <w:t>Tap</w:t>
            </w:r>
            <w:proofErr w:type="spellEnd"/>
            <w:r w:rsidRPr="00256315">
              <w:rPr>
                <w:b/>
                <w:bCs/>
                <w:sz w:val="22"/>
              </w:rPr>
              <w:t>= 0,0</w:t>
            </w:r>
            <w:r w:rsidR="00A01271" w:rsidRPr="00256315">
              <w:rPr>
                <w:b/>
                <w:bCs/>
                <w:sz w:val="22"/>
              </w:rPr>
              <w:t>67</w:t>
            </w:r>
            <w:r w:rsidRPr="00256315">
              <w:rPr>
                <w:b/>
                <w:bCs/>
                <w:sz w:val="22"/>
              </w:rPr>
              <w:t xml:space="preserve"> x 1,375 = 0,</w:t>
            </w:r>
            <w:r w:rsidR="00A01271" w:rsidRPr="00256315">
              <w:rPr>
                <w:b/>
                <w:bCs/>
                <w:sz w:val="22"/>
              </w:rPr>
              <w:t>0921</w:t>
            </w:r>
            <w:r w:rsidRPr="00256315">
              <w:rPr>
                <w:sz w:val="22"/>
              </w:rPr>
              <w:t xml:space="preserve">  namams, kurių plotas 1001 – 3000 kv. m</w:t>
            </w:r>
          </w:p>
          <w:p w14:paraId="141AE35E" w14:textId="77777777" w:rsidR="008C1B70" w:rsidRPr="00256315" w:rsidRDefault="008C1B70" w:rsidP="008C1B70">
            <w:pPr>
              <w:tabs>
                <w:tab w:val="left" w:pos="0"/>
              </w:tabs>
              <w:jc w:val="both"/>
              <w:rPr>
                <w:sz w:val="22"/>
              </w:rPr>
            </w:pPr>
            <w:proofErr w:type="spellStart"/>
            <w:r w:rsidRPr="00256315">
              <w:rPr>
                <w:b/>
                <w:bCs/>
                <w:sz w:val="22"/>
              </w:rPr>
              <w:t>Tap</w:t>
            </w:r>
            <w:proofErr w:type="spellEnd"/>
            <w:r w:rsidRPr="00256315">
              <w:rPr>
                <w:b/>
                <w:bCs/>
                <w:sz w:val="22"/>
              </w:rPr>
              <w:t>= 0,0</w:t>
            </w:r>
            <w:r w:rsidR="00A01271" w:rsidRPr="00256315">
              <w:rPr>
                <w:b/>
                <w:bCs/>
                <w:sz w:val="22"/>
              </w:rPr>
              <w:t>67</w:t>
            </w:r>
            <w:r w:rsidRPr="00256315">
              <w:rPr>
                <w:b/>
                <w:bCs/>
                <w:sz w:val="22"/>
              </w:rPr>
              <w:t xml:space="preserve"> x 1,045 = 0,</w:t>
            </w:r>
            <w:r w:rsidR="00A01271" w:rsidRPr="00256315">
              <w:rPr>
                <w:b/>
                <w:bCs/>
                <w:sz w:val="22"/>
              </w:rPr>
              <w:t>0700</w:t>
            </w:r>
            <w:r w:rsidRPr="00256315">
              <w:rPr>
                <w:sz w:val="22"/>
              </w:rPr>
              <w:t xml:space="preserve"> namams, kurių plotas didesnis kaip 3000 kv. m</w:t>
            </w:r>
            <w:r w:rsidR="00541B8D" w:rsidRPr="00256315">
              <w:rPr>
                <w:sz w:val="22"/>
              </w:rPr>
              <w:t>:</w:t>
            </w:r>
          </w:p>
          <w:p w14:paraId="66913F80" w14:textId="77777777" w:rsidR="00503DCA" w:rsidRPr="00256315" w:rsidRDefault="00503DCA" w:rsidP="008C1B70">
            <w:pPr>
              <w:tabs>
                <w:tab w:val="left" w:pos="0"/>
              </w:tabs>
              <w:jc w:val="both"/>
              <w:rPr>
                <w:sz w:val="22"/>
              </w:rPr>
            </w:pPr>
          </w:p>
          <w:p w14:paraId="6D3DEDBC" w14:textId="77777777" w:rsidR="00541B8D" w:rsidRPr="00256315" w:rsidRDefault="00541B8D" w:rsidP="008C1B70">
            <w:pPr>
              <w:tabs>
                <w:tab w:val="left" w:pos="0"/>
              </w:tabs>
              <w:jc w:val="both"/>
              <w:rPr>
                <w:sz w:val="22"/>
              </w:rPr>
            </w:pPr>
            <w:r w:rsidRPr="00256315">
              <w:rPr>
                <w:sz w:val="22"/>
              </w:rPr>
              <w:t>(2 lentelė)</w:t>
            </w:r>
          </w:p>
          <w:tbl>
            <w:tblPr>
              <w:tblW w:w="9513" w:type="dxa"/>
              <w:tblInd w:w="57" w:type="dxa"/>
              <w:tblCellMar>
                <w:left w:w="0" w:type="dxa"/>
                <w:right w:w="0" w:type="dxa"/>
              </w:tblCellMar>
              <w:tblLook w:val="04A0" w:firstRow="1" w:lastRow="0" w:firstColumn="1" w:lastColumn="0" w:noHBand="0" w:noVBand="1"/>
            </w:tblPr>
            <w:tblGrid>
              <w:gridCol w:w="2065"/>
              <w:gridCol w:w="911"/>
              <w:gridCol w:w="1092"/>
              <w:gridCol w:w="980"/>
              <w:gridCol w:w="1836"/>
              <w:gridCol w:w="1276"/>
              <w:gridCol w:w="1353"/>
            </w:tblGrid>
            <w:tr w:rsidR="00541B8D" w:rsidRPr="00256315" w14:paraId="52C08F85" w14:textId="77777777" w:rsidTr="00541B8D">
              <w:trPr>
                <w:trHeight w:val="380"/>
              </w:trPr>
              <w:tc>
                <w:tcPr>
                  <w:tcW w:w="20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63623" w14:textId="77777777" w:rsidR="00541B8D" w:rsidRPr="00256315" w:rsidRDefault="00541B8D" w:rsidP="00541B8D">
                  <w:pPr>
                    <w:spacing w:line="336" w:lineRule="atLeast"/>
                    <w:ind w:right="57"/>
                    <w:jc w:val="both"/>
                    <w:rPr>
                      <w:szCs w:val="24"/>
                    </w:rPr>
                  </w:pPr>
                  <w:r w:rsidRPr="00256315">
                    <w:rPr>
                      <w:szCs w:val="24"/>
                    </w:rPr>
                    <w:t>Namo</w:t>
                  </w:r>
                </w:p>
                <w:p w14:paraId="63E7CBD5" w14:textId="77777777" w:rsidR="00541B8D" w:rsidRPr="00256315" w:rsidRDefault="00541B8D" w:rsidP="00541B8D">
                  <w:pPr>
                    <w:spacing w:line="336" w:lineRule="atLeast"/>
                    <w:ind w:right="57"/>
                    <w:jc w:val="both"/>
                    <w:rPr>
                      <w:szCs w:val="24"/>
                    </w:rPr>
                  </w:pPr>
                  <w:r w:rsidRPr="00256315">
                    <w:rPr>
                      <w:szCs w:val="24"/>
                    </w:rPr>
                    <w:t>naudingasis</w:t>
                  </w:r>
                </w:p>
                <w:p w14:paraId="4E83929B" w14:textId="77777777" w:rsidR="00541B8D" w:rsidRPr="00256315" w:rsidRDefault="00541B8D" w:rsidP="00541B8D">
                  <w:pPr>
                    <w:spacing w:line="336" w:lineRule="atLeast"/>
                    <w:ind w:right="57"/>
                    <w:rPr>
                      <w:szCs w:val="24"/>
                    </w:rPr>
                  </w:pPr>
                  <w:r w:rsidRPr="00256315">
                    <w:rPr>
                      <w:szCs w:val="24"/>
                    </w:rPr>
                    <w:t>plotas, kv. m.</w:t>
                  </w:r>
                </w:p>
              </w:tc>
              <w:tc>
                <w:tcPr>
                  <w:tcW w:w="9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289C1130" w14:textId="77777777" w:rsidR="00541B8D" w:rsidRPr="00256315" w:rsidRDefault="00541B8D" w:rsidP="00541B8D">
                  <w:pPr>
                    <w:spacing w:line="336" w:lineRule="atLeast"/>
                    <w:ind w:right="57"/>
                    <w:jc w:val="center"/>
                    <w:rPr>
                      <w:szCs w:val="24"/>
                    </w:rPr>
                  </w:pPr>
                  <w:r w:rsidRPr="00256315">
                    <w:rPr>
                      <w:szCs w:val="24"/>
                    </w:rPr>
                    <w:t>K2</w:t>
                  </w:r>
                </w:p>
              </w:tc>
              <w:tc>
                <w:tcPr>
                  <w:tcW w:w="10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064C1FDB" w14:textId="77777777" w:rsidR="00541B8D" w:rsidRPr="00256315" w:rsidRDefault="00541B8D" w:rsidP="00541B8D">
                  <w:pPr>
                    <w:spacing w:line="336" w:lineRule="atLeast"/>
                    <w:ind w:right="57"/>
                    <w:jc w:val="center"/>
                    <w:rPr>
                      <w:szCs w:val="24"/>
                    </w:rPr>
                  </w:pPr>
                  <w:r w:rsidRPr="00256315">
                    <w:rPr>
                      <w:szCs w:val="24"/>
                    </w:rPr>
                    <w:t>K3</w:t>
                  </w:r>
                </w:p>
              </w:tc>
              <w:tc>
                <w:tcPr>
                  <w:tcW w:w="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316EB7A0" w14:textId="77777777" w:rsidR="00541B8D" w:rsidRPr="00256315" w:rsidRDefault="00541B8D" w:rsidP="00541B8D">
                  <w:pPr>
                    <w:spacing w:line="336" w:lineRule="atLeast"/>
                    <w:ind w:right="57"/>
                    <w:jc w:val="center"/>
                    <w:rPr>
                      <w:szCs w:val="24"/>
                    </w:rPr>
                  </w:pPr>
                  <w:r w:rsidRPr="00256315">
                    <w:rPr>
                      <w:szCs w:val="24"/>
                    </w:rPr>
                    <w:t>K4</w:t>
                  </w:r>
                </w:p>
              </w:tc>
              <w:tc>
                <w:tcPr>
                  <w:tcW w:w="1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F874F43" w14:textId="77777777" w:rsidR="00541B8D" w:rsidRPr="00256315" w:rsidRDefault="00541B8D" w:rsidP="00541B8D">
                  <w:pPr>
                    <w:spacing w:line="336" w:lineRule="atLeast"/>
                    <w:ind w:right="57"/>
                    <w:jc w:val="center"/>
                    <w:rPr>
                      <w:szCs w:val="24"/>
                    </w:rPr>
                  </w:pPr>
                  <w:r w:rsidRPr="00256315">
                    <w:rPr>
                      <w:szCs w:val="24"/>
                    </w:rPr>
                    <w:t>K= K2xK3xK4</w:t>
                  </w:r>
                </w:p>
              </w:tc>
              <w:tc>
                <w:tcPr>
                  <w:tcW w:w="26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4F8AAE4" w14:textId="77777777" w:rsidR="00541B8D" w:rsidRPr="00256315" w:rsidRDefault="00541B8D" w:rsidP="00541B8D">
                  <w:pPr>
                    <w:spacing w:line="336" w:lineRule="atLeast"/>
                    <w:ind w:right="57"/>
                    <w:jc w:val="center"/>
                    <w:rPr>
                      <w:szCs w:val="24"/>
                    </w:rPr>
                  </w:pPr>
                  <w:proofErr w:type="spellStart"/>
                  <w:r w:rsidRPr="00256315">
                    <w:rPr>
                      <w:szCs w:val="24"/>
                    </w:rPr>
                    <w:t>Tap</w:t>
                  </w:r>
                  <w:proofErr w:type="spellEnd"/>
                  <w:r w:rsidRPr="00256315">
                    <w:rPr>
                      <w:szCs w:val="24"/>
                    </w:rPr>
                    <w:t xml:space="preserve"> = Ta x K,    (Eur/kv. m/ mėn.)</w:t>
                  </w:r>
                </w:p>
              </w:tc>
            </w:tr>
            <w:tr w:rsidR="00541B8D" w:rsidRPr="00256315" w14:paraId="5C4652C4" w14:textId="77777777" w:rsidTr="00541B8D">
              <w:trPr>
                <w:trHeight w:val="380"/>
              </w:trPr>
              <w:tc>
                <w:tcPr>
                  <w:tcW w:w="0" w:type="auto"/>
                  <w:vMerge/>
                  <w:tcBorders>
                    <w:top w:val="single" w:sz="8" w:space="0" w:color="auto"/>
                    <w:left w:val="single" w:sz="8" w:space="0" w:color="auto"/>
                    <w:bottom w:val="single" w:sz="8" w:space="0" w:color="auto"/>
                    <w:right w:val="single" w:sz="8" w:space="0" w:color="auto"/>
                  </w:tcBorders>
                  <w:vAlign w:val="center"/>
                </w:tcPr>
                <w:p w14:paraId="404EBEFA" w14:textId="77777777" w:rsidR="00541B8D" w:rsidRPr="00256315" w:rsidRDefault="00541B8D" w:rsidP="00541B8D">
                  <w:pPr>
                    <w:rPr>
                      <w:szCs w:val="24"/>
                    </w:rPr>
                  </w:pPr>
                </w:p>
              </w:tc>
              <w:tc>
                <w:tcPr>
                  <w:tcW w:w="0" w:type="auto"/>
                  <w:vMerge/>
                  <w:tcBorders>
                    <w:top w:val="single" w:sz="8" w:space="0" w:color="auto"/>
                    <w:left w:val="nil"/>
                    <w:bottom w:val="single" w:sz="8" w:space="0" w:color="auto"/>
                    <w:right w:val="single" w:sz="8" w:space="0" w:color="auto"/>
                  </w:tcBorders>
                  <w:vAlign w:val="center"/>
                </w:tcPr>
                <w:p w14:paraId="2801589C" w14:textId="77777777" w:rsidR="00541B8D" w:rsidRPr="00256315" w:rsidRDefault="00541B8D" w:rsidP="00541B8D">
                  <w:pPr>
                    <w:rPr>
                      <w:szCs w:val="24"/>
                    </w:rPr>
                  </w:pPr>
                </w:p>
              </w:tc>
              <w:tc>
                <w:tcPr>
                  <w:tcW w:w="0" w:type="auto"/>
                  <w:vMerge/>
                  <w:tcBorders>
                    <w:top w:val="single" w:sz="8" w:space="0" w:color="auto"/>
                    <w:left w:val="nil"/>
                    <w:bottom w:val="single" w:sz="8" w:space="0" w:color="auto"/>
                    <w:right w:val="single" w:sz="8" w:space="0" w:color="auto"/>
                  </w:tcBorders>
                  <w:vAlign w:val="center"/>
                </w:tcPr>
                <w:p w14:paraId="56B11FB4" w14:textId="77777777" w:rsidR="00541B8D" w:rsidRPr="00256315" w:rsidRDefault="00541B8D" w:rsidP="00541B8D">
                  <w:pPr>
                    <w:rPr>
                      <w:szCs w:val="24"/>
                    </w:rPr>
                  </w:pPr>
                </w:p>
              </w:tc>
              <w:tc>
                <w:tcPr>
                  <w:tcW w:w="0" w:type="auto"/>
                  <w:vMerge/>
                  <w:tcBorders>
                    <w:top w:val="single" w:sz="8" w:space="0" w:color="auto"/>
                    <w:left w:val="nil"/>
                    <w:bottom w:val="single" w:sz="8" w:space="0" w:color="auto"/>
                    <w:right w:val="single" w:sz="8" w:space="0" w:color="auto"/>
                  </w:tcBorders>
                  <w:vAlign w:val="center"/>
                </w:tcPr>
                <w:p w14:paraId="641A1DB8" w14:textId="77777777" w:rsidR="00541B8D" w:rsidRPr="00256315" w:rsidRDefault="00541B8D" w:rsidP="00541B8D">
                  <w:pPr>
                    <w:rPr>
                      <w:szCs w:val="24"/>
                    </w:rPr>
                  </w:pPr>
                </w:p>
              </w:tc>
              <w:tc>
                <w:tcPr>
                  <w:tcW w:w="0" w:type="auto"/>
                  <w:vMerge/>
                  <w:tcBorders>
                    <w:top w:val="single" w:sz="8" w:space="0" w:color="auto"/>
                    <w:left w:val="nil"/>
                    <w:bottom w:val="single" w:sz="8" w:space="0" w:color="auto"/>
                    <w:right w:val="single" w:sz="8" w:space="0" w:color="auto"/>
                  </w:tcBorders>
                  <w:vAlign w:val="center"/>
                </w:tcPr>
                <w:p w14:paraId="58F31A2C" w14:textId="77777777" w:rsidR="00541B8D" w:rsidRPr="00256315" w:rsidRDefault="00541B8D" w:rsidP="00541B8D">
                  <w:pPr>
                    <w:rPr>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3FED45" w14:textId="77777777" w:rsidR="00541B8D" w:rsidRPr="00256315" w:rsidRDefault="00541B8D" w:rsidP="00541B8D">
                  <w:pPr>
                    <w:spacing w:line="336" w:lineRule="atLeast"/>
                    <w:ind w:right="57"/>
                    <w:jc w:val="center"/>
                    <w:rPr>
                      <w:szCs w:val="24"/>
                    </w:rPr>
                  </w:pPr>
                  <w:r w:rsidRPr="00256315">
                    <w:rPr>
                      <w:szCs w:val="24"/>
                    </w:rPr>
                    <w:t>be PVM</w:t>
                  </w:r>
                </w:p>
              </w:tc>
              <w:tc>
                <w:tcPr>
                  <w:tcW w:w="1353" w:type="dxa"/>
                  <w:tcBorders>
                    <w:top w:val="nil"/>
                    <w:left w:val="nil"/>
                    <w:bottom w:val="single" w:sz="8" w:space="0" w:color="auto"/>
                    <w:right w:val="single" w:sz="8" w:space="0" w:color="auto"/>
                  </w:tcBorders>
                  <w:tcMar>
                    <w:top w:w="0" w:type="dxa"/>
                    <w:left w:w="108" w:type="dxa"/>
                    <w:bottom w:w="0" w:type="dxa"/>
                    <w:right w:w="108" w:type="dxa"/>
                  </w:tcMar>
                </w:tcPr>
                <w:p w14:paraId="0C7E1708" w14:textId="77777777" w:rsidR="00541B8D" w:rsidRPr="00256315" w:rsidRDefault="00541B8D" w:rsidP="00541B8D">
                  <w:pPr>
                    <w:spacing w:line="336" w:lineRule="atLeast"/>
                    <w:ind w:right="57"/>
                    <w:jc w:val="center"/>
                    <w:rPr>
                      <w:szCs w:val="24"/>
                    </w:rPr>
                  </w:pPr>
                  <w:r w:rsidRPr="00256315">
                    <w:rPr>
                      <w:szCs w:val="24"/>
                    </w:rPr>
                    <w:t>su PVM</w:t>
                  </w:r>
                </w:p>
              </w:tc>
            </w:tr>
            <w:tr w:rsidR="00541B8D" w:rsidRPr="00256315" w14:paraId="6F02A3C5" w14:textId="77777777" w:rsidTr="00541B8D">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E20BC6" w14:textId="77777777" w:rsidR="00541B8D" w:rsidRPr="00256315" w:rsidRDefault="00541B8D" w:rsidP="00541B8D">
                  <w:pPr>
                    <w:spacing w:line="336" w:lineRule="atLeast"/>
                    <w:ind w:right="57"/>
                    <w:jc w:val="both"/>
                    <w:rPr>
                      <w:szCs w:val="24"/>
                    </w:rPr>
                  </w:pPr>
                  <w:r w:rsidRPr="00256315">
                    <w:rPr>
                      <w:szCs w:val="24"/>
                    </w:rPr>
                    <w:t>Iki 1000</w:t>
                  </w:r>
                </w:p>
              </w:tc>
              <w:tc>
                <w:tcPr>
                  <w:tcW w:w="911" w:type="dxa"/>
                  <w:tcBorders>
                    <w:top w:val="nil"/>
                    <w:left w:val="nil"/>
                    <w:bottom w:val="single" w:sz="8" w:space="0" w:color="auto"/>
                    <w:right w:val="single" w:sz="8" w:space="0" w:color="auto"/>
                  </w:tcBorders>
                  <w:tcMar>
                    <w:top w:w="0" w:type="dxa"/>
                    <w:left w:w="108" w:type="dxa"/>
                    <w:bottom w:w="0" w:type="dxa"/>
                    <w:right w:w="108" w:type="dxa"/>
                  </w:tcMar>
                </w:tcPr>
                <w:p w14:paraId="4AEA6F90" w14:textId="77777777" w:rsidR="00541B8D" w:rsidRPr="00256315" w:rsidRDefault="00541B8D" w:rsidP="00541B8D">
                  <w:pPr>
                    <w:spacing w:line="336" w:lineRule="atLeast"/>
                    <w:ind w:right="57"/>
                    <w:jc w:val="center"/>
                    <w:rPr>
                      <w:szCs w:val="24"/>
                    </w:rPr>
                  </w:pPr>
                  <w:r w:rsidRPr="00256315">
                    <w:rPr>
                      <w:szCs w:val="24"/>
                    </w:rPr>
                    <w:t>1,10</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EC6CFD7" w14:textId="77777777" w:rsidR="00541B8D" w:rsidRPr="00256315" w:rsidRDefault="00541B8D" w:rsidP="00541B8D">
                  <w:pPr>
                    <w:spacing w:line="336" w:lineRule="atLeast"/>
                    <w:ind w:right="57"/>
                    <w:jc w:val="center"/>
                    <w:rPr>
                      <w:szCs w:val="24"/>
                    </w:rPr>
                  </w:pPr>
                  <w:r w:rsidRPr="00256315">
                    <w:rPr>
                      <w:szCs w:val="24"/>
                    </w:rPr>
                    <w:t>1,00</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14:paraId="4C202D7E" w14:textId="77777777" w:rsidR="00541B8D" w:rsidRPr="00256315" w:rsidRDefault="00541B8D" w:rsidP="00541B8D">
                  <w:pPr>
                    <w:spacing w:line="336" w:lineRule="atLeast"/>
                    <w:ind w:right="57"/>
                    <w:jc w:val="center"/>
                    <w:rPr>
                      <w:szCs w:val="24"/>
                    </w:rPr>
                  </w:pPr>
                  <w:r w:rsidRPr="00256315">
                    <w:rPr>
                      <w:szCs w:val="24"/>
                    </w:rPr>
                    <w:t>1,45</w:t>
                  </w:r>
                </w:p>
              </w:tc>
              <w:tc>
                <w:tcPr>
                  <w:tcW w:w="1836" w:type="dxa"/>
                  <w:tcBorders>
                    <w:top w:val="nil"/>
                    <w:left w:val="nil"/>
                    <w:bottom w:val="single" w:sz="8" w:space="0" w:color="auto"/>
                    <w:right w:val="single" w:sz="8" w:space="0" w:color="auto"/>
                  </w:tcBorders>
                  <w:tcMar>
                    <w:top w:w="0" w:type="dxa"/>
                    <w:left w:w="108" w:type="dxa"/>
                    <w:bottom w:w="0" w:type="dxa"/>
                    <w:right w:w="108" w:type="dxa"/>
                  </w:tcMar>
                </w:tcPr>
                <w:p w14:paraId="097E1212" w14:textId="77777777" w:rsidR="00541B8D" w:rsidRPr="00256315" w:rsidRDefault="00541B8D" w:rsidP="00541B8D">
                  <w:pPr>
                    <w:spacing w:line="336" w:lineRule="atLeast"/>
                    <w:ind w:right="57"/>
                    <w:jc w:val="center"/>
                    <w:rPr>
                      <w:szCs w:val="24"/>
                    </w:rPr>
                  </w:pPr>
                  <w:r w:rsidRPr="00256315">
                    <w:rPr>
                      <w:szCs w:val="24"/>
                    </w:rPr>
                    <w:t>1,595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487E11B" w14:textId="77777777" w:rsidR="00541B8D" w:rsidRPr="00256315" w:rsidRDefault="00A01271" w:rsidP="00541B8D">
                  <w:pPr>
                    <w:spacing w:line="336" w:lineRule="atLeast"/>
                    <w:ind w:right="57"/>
                    <w:jc w:val="center"/>
                    <w:rPr>
                      <w:b/>
                      <w:bCs/>
                      <w:szCs w:val="24"/>
                    </w:rPr>
                  </w:pPr>
                  <w:r w:rsidRPr="00256315">
                    <w:rPr>
                      <w:b/>
                      <w:bCs/>
                      <w:szCs w:val="24"/>
                    </w:rPr>
                    <w:t>0,1068</w:t>
                  </w:r>
                </w:p>
              </w:tc>
              <w:tc>
                <w:tcPr>
                  <w:tcW w:w="1353" w:type="dxa"/>
                  <w:tcBorders>
                    <w:top w:val="nil"/>
                    <w:left w:val="nil"/>
                    <w:bottom w:val="single" w:sz="8" w:space="0" w:color="auto"/>
                    <w:right w:val="single" w:sz="8" w:space="0" w:color="auto"/>
                  </w:tcBorders>
                  <w:tcMar>
                    <w:top w:w="0" w:type="dxa"/>
                    <w:left w:w="108" w:type="dxa"/>
                    <w:bottom w:w="0" w:type="dxa"/>
                    <w:right w:w="108" w:type="dxa"/>
                  </w:tcMar>
                </w:tcPr>
                <w:p w14:paraId="2BD394DD" w14:textId="77777777" w:rsidR="00541B8D" w:rsidRPr="00256315" w:rsidRDefault="00541B8D" w:rsidP="00541B8D">
                  <w:pPr>
                    <w:spacing w:line="336" w:lineRule="atLeast"/>
                    <w:ind w:right="57"/>
                    <w:jc w:val="center"/>
                    <w:rPr>
                      <w:szCs w:val="24"/>
                    </w:rPr>
                  </w:pPr>
                  <w:r w:rsidRPr="00256315">
                    <w:rPr>
                      <w:szCs w:val="24"/>
                    </w:rPr>
                    <w:t>0,1</w:t>
                  </w:r>
                  <w:r w:rsidR="00A01271" w:rsidRPr="00256315">
                    <w:rPr>
                      <w:szCs w:val="24"/>
                    </w:rPr>
                    <w:t>292</w:t>
                  </w:r>
                </w:p>
              </w:tc>
            </w:tr>
            <w:tr w:rsidR="00541B8D" w:rsidRPr="00256315" w14:paraId="1110BB11" w14:textId="77777777" w:rsidTr="00541B8D">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1B354" w14:textId="77777777" w:rsidR="00541B8D" w:rsidRPr="00256315" w:rsidRDefault="00541B8D" w:rsidP="00541B8D">
                  <w:pPr>
                    <w:spacing w:line="336" w:lineRule="atLeast"/>
                    <w:ind w:right="57"/>
                    <w:jc w:val="both"/>
                    <w:rPr>
                      <w:szCs w:val="24"/>
                    </w:rPr>
                  </w:pPr>
                  <w:r w:rsidRPr="00256315">
                    <w:rPr>
                      <w:szCs w:val="24"/>
                    </w:rPr>
                    <w:t>1000–3000</w:t>
                  </w:r>
                </w:p>
              </w:tc>
              <w:tc>
                <w:tcPr>
                  <w:tcW w:w="911" w:type="dxa"/>
                  <w:tcBorders>
                    <w:top w:val="nil"/>
                    <w:left w:val="nil"/>
                    <w:bottom w:val="single" w:sz="8" w:space="0" w:color="auto"/>
                    <w:right w:val="single" w:sz="8" w:space="0" w:color="auto"/>
                  </w:tcBorders>
                  <w:tcMar>
                    <w:top w:w="0" w:type="dxa"/>
                    <w:left w:w="108" w:type="dxa"/>
                    <w:bottom w:w="0" w:type="dxa"/>
                    <w:right w:w="108" w:type="dxa"/>
                  </w:tcMar>
                </w:tcPr>
                <w:p w14:paraId="0059739D" w14:textId="77777777" w:rsidR="00541B8D" w:rsidRPr="00256315" w:rsidRDefault="00541B8D" w:rsidP="00541B8D">
                  <w:pPr>
                    <w:spacing w:line="336" w:lineRule="atLeast"/>
                    <w:ind w:right="57"/>
                    <w:jc w:val="center"/>
                    <w:rPr>
                      <w:szCs w:val="24"/>
                    </w:rPr>
                  </w:pPr>
                  <w:r w:rsidRPr="00256315">
                    <w:rPr>
                      <w:szCs w:val="24"/>
                    </w:rPr>
                    <w:t>1,10</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02B4F633" w14:textId="77777777" w:rsidR="00541B8D" w:rsidRPr="00256315" w:rsidRDefault="00541B8D" w:rsidP="00541B8D">
                  <w:pPr>
                    <w:spacing w:line="336" w:lineRule="atLeast"/>
                    <w:ind w:right="57"/>
                    <w:jc w:val="center"/>
                    <w:rPr>
                      <w:szCs w:val="24"/>
                    </w:rPr>
                  </w:pPr>
                  <w:r w:rsidRPr="00256315">
                    <w:rPr>
                      <w:szCs w:val="24"/>
                    </w:rPr>
                    <w:t>1,00</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14:paraId="7355C3CA" w14:textId="77777777" w:rsidR="00541B8D" w:rsidRPr="00256315" w:rsidRDefault="00541B8D" w:rsidP="00541B8D">
                  <w:pPr>
                    <w:spacing w:line="336" w:lineRule="atLeast"/>
                    <w:ind w:right="57"/>
                    <w:jc w:val="center"/>
                    <w:rPr>
                      <w:szCs w:val="24"/>
                    </w:rPr>
                  </w:pPr>
                  <w:r w:rsidRPr="00256315">
                    <w:rPr>
                      <w:szCs w:val="24"/>
                    </w:rPr>
                    <w:t>1,25</w:t>
                  </w:r>
                </w:p>
              </w:tc>
              <w:tc>
                <w:tcPr>
                  <w:tcW w:w="1836" w:type="dxa"/>
                  <w:tcBorders>
                    <w:top w:val="nil"/>
                    <w:left w:val="nil"/>
                    <w:bottom w:val="single" w:sz="8" w:space="0" w:color="auto"/>
                    <w:right w:val="single" w:sz="8" w:space="0" w:color="auto"/>
                  </w:tcBorders>
                  <w:tcMar>
                    <w:top w:w="0" w:type="dxa"/>
                    <w:left w:w="108" w:type="dxa"/>
                    <w:bottom w:w="0" w:type="dxa"/>
                    <w:right w:w="108" w:type="dxa"/>
                  </w:tcMar>
                </w:tcPr>
                <w:p w14:paraId="3C450C9D" w14:textId="77777777" w:rsidR="00541B8D" w:rsidRPr="00256315" w:rsidRDefault="00541B8D" w:rsidP="00541B8D">
                  <w:pPr>
                    <w:spacing w:line="336" w:lineRule="atLeast"/>
                    <w:ind w:right="57"/>
                    <w:jc w:val="center"/>
                    <w:rPr>
                      <w:szCs w:val="24"/>
                    </w:rPr>
                  </w:pPr>
                  <w:r w:rsidRPr="00256315">
                    <w:rPr>
                      <w:szCs w:val="24"/>
                    </w:rPr>
                    <w:t>1,375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001C0C5" w14:textId="77777777" w:rsidR="00541B8D" w:rsidRPr="00256315" w:rsidRDefault="00A01271" w:rsidP="00541B8D">
                  <w:pPr>
                    <w:spacing w:line="336" w:lineRule="atLeast"/>
                    <w:ind w:right="57"/>
                    <w:jc w:val="center"/>
                    <w:rPr>
                      <w:b/>
                      <w:bCs/>
                      <w:szCs w:val="24"/>
                    </w:rPr>
                  </w:pPr>
                  <w:r w:rsidRPr="00256315">
                    <w:rPr>
                      <w:b/>
                      <w:bCs/>
                      <w:szCs w:val="24"/>
                    </w:rPr>
                    <w:t>0,0921</w:t>
                  </w:r>
                </w:p>
              </w:tc>
              <w:tc>
                <w:tcPr>
                  <w:tcW w:w="1353" w:type="dxa"/>
                  <w:tcBorders>
                    <w:top w:val="nil"/>
                    <w:left w:val="nil"/>
                    <w:bottom w:val="single" w:sz="8" w:space="0" w:color="auto"/>
                    <w:right w:val="single" w:sz="8" w:space="0" w:color="auto"/>
                  </w:tcBorders>
                  <w:tcMar>
                    <w:top w:w="0" w:type="dxa"/>
                    <w:left w:w="108" w:type="dxa"/>
                    <w:bottom w:w="0" w:type="dxa"/>
                    <w:right w:w="108" w:type="dxa"/>
                  </w:tcMar>
                </w:tcPr>
                <w:p w14:paraId="1E4D2853" w14:textId="77777777" w:rsidR="00541B8D" w:rsidRPr="00256315" w:rsidRDefault="00541B8D" w:rsidP="00541B8D">
                  <w:pPr>
                    <w:spacing w:line="336" w:lineRule="atLeast"/>
                    <w:ind w:right="57"/>
                    <w:jc w:val="center"/>
                    <w:rPr>
                      <w:szCs w:val="24"/>
                    </w:rPr>
                  </w:pPr>
                  <w:r w:rsidRPr="00256315">
                    <w:rPr>
                      <w:szCs w:val="24"/>
                    </w:rPr>
                    <w:t>0,1</w:t>
                  </w:r>
                  <w:r w:rsidR="00A01271" w:rsidRPr="00256315">
                    <w:rPr>
                      <w:szCs w:val="24"/>
                    </w:rPr>
                    <w:t>114</w:t>
                  </w:r>
                </w:p>
              </w:tc>
            </w:tr>
            <w:tr w:rsidR="00541B8D" w:rsidRPr="00256315" w14:paraId="68DEF98C" w14:textId="77777777" w:rsidTr="00541B8D">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53685" w14:textId="77777777" w:rsidR="00541B8D" w:rsidRPr="00256315" w:rsidRDefault="00541B8D" w:rsidP="00541B8D">
                  <w:pPr>
                    <w:spacing w:line="336" w:lineRule="atLeast"/>
                    <w:ind w:right="57"/>
                    <w:jc w:val="both"/>
                    <w:rPr>
                      <w:szCs w:val="24"/>
                    </w:rPr>
                  </w:pPr>
                  <w:r w:rsidRPr="00256315">
                    <w:rPr>
                      <w:sz w:val="22"/>
                      <w:szCs w:val="22"/>
                    </w:rPr>
                    <w:t>Daugiau kaip 3000</w:t>
                  </w:r>
                </w:p>
              </w:tc>
              <w:tc>
                <w:tcPr>
                  <w:tcW w:w="911" w:type="dxa"/>
                  <w:tcBorders>
                    <w:top w:val="nil"/>
                    <w:left w:val="nil"/>
                    <w:bottom w:val="single" w:sz="8" w:space="0" w:color="auto"/>
                    <w:right w:val="single" w:sz="8" w:space="0" w:color="auto"/>
                  </w:tcBorders>
                  <w:tcMar>
                    <w:top w:w="0" w:type="dxa"/>
                    <w:left w:w="108" w:type="dxa"/>
                    <w:bottom w:w="0" w:type="dxa"/>
                    <w:right w:w="108" w:type="dxa"/>
                  </w:tcMar>
                </w:tcPr>
                <w:p w14:paraId="796960C2" w14:textId="77777777" w:rsidR="00541B8D" w:rsidRPr="00256315" w:rsidRDefault="00541B8D" w:rsidP="00541B8D">
                  <w:pPr>
                    <w:spacing w:line="336" w:lineRule="atLeast"/>
                    <w:ind w:right="57"/>
                    <w:jc w:val="center"/>
                    <w:rPr>
                      <w:szCs w:val="24"/>
                    </w:rPr>
                  </w:pPr>
                  <w:r w:rsidRPr="00256315">
                    <w:rPr>
                      <w:szCs w:val="24"/>
                    </w:rPr>
                    <w:t>1,10</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5AB1E783" w14:textId="77777777" w:rsidR="00541B8D" w:rsidRPr="00256315" w:rsidRDefault="00541B8D" w:rsidP="00541B8D">
                  <w:pPr>
                    <w:spacing w:line="336" w:lineRule="atLeast"/>
                    <w:ind w:right="57"/>
                    <w:jc w:val="center"/>
                    <w:rPr>
                      <w:szCs w:val="24"/>
                    </w:rPr>
                  </w:pPr>
                  <w:r w:rsidRPr="00256315">
                    <w:rPr>
                      <w:szCs w:val="24"/>
                    </w:rPr>
                    <w:t>1,00</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14:paraId="760B824D" w14:textId="77777777" w:rsidR="00541B8D" w:rsidRPr="00256315" w:rsidRDefault="00541B8D" w:rsidP="00541B8D">
                  <w:pPr>
                    <w:spacing w:line="336" w:lineRule="atLeast"/>
                    <w:ind w:right="57"/>
                    <w:jc w:val="center"/>
                    <w:rPr>
                      <w:szCs w:val="24"/>
                    </w:rPr>
                  </w:pPr>
                  <w:r w:rsidRPr="00256315">
                    <w:rPr>
                      <w:szCs w:val="24"/>
                    </w:rPr>
                    <w:t>0,95</w:t>
                  </w:r>
                </w:p>
              </w:tc>
              <w:tc>
                <w:tcPr>
                  <w:tcW w:w="1836" w:type="dxa"/>
                  <w:tcBorders>
                    <w:top w:val="nil"/>
                    <w:left w:val="nil"/>
                    <w:bottom w:val="single" w:sz="8" w:space="0" w:color="auto"/>
                    <w:right w:val="single" w:sz="8" w:space="0" w:color="auto"/>
                  </w:tcBorders>
                  <w:tcMar>
                    <w:top w:w="0" w:type="dxa"/>
                    <w:left w:w="108" w:type="dxa"/>
                    <w:bottom w:w="0" w:type="dxa"/>
                    <w:right w:w="108" w:type="dxa"/>
                  </w:tcMar>
                </w:tcPr>
                <w:p w14:paraId="3292AB86" w14:textId="77777777" w:rsidR="00541B8D" w:rsidRPr="00256315" w:rsidRDefault="00541B8D" w:rsidP="00541B8D">
                  <w:pPr>
                    <w:spacing w:line="336" w:lineRule="atLeast"/>
                    <w:ind w:right="57"/>
                    <w:jc w:val="center"/>
                    <w:rPr>
                      <w:szCs w:val="24"/>
                    </w:rPr>
                  </w:pPr>
                  <w:r w:rsidRPr="00256315">
                    <w:rPr>
                      <w:szCs w:val="24"/>
                    </w:rPr>
                    <w:t>1,045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FCB0EB8" w14:textId="77777777" w:rsidR="00541B8D" w:rsidRPr="00256315" w:rsidRDefault="00541B8D" w:rsidP="00541B8D">
                  <w:pPr>
                    <w:spacing w:line="336" w:lineRule="atLeast"/>
                    <w:ind w:right="57"/>
                    <w:jc w:val="center"/>
                    <w:rPr>
                      <w:b/>
                      <w:bCs/>
                      <w:szCs w:val="24"/>
                    </w:rPr>
                  </w:pPr>
                  <w:r w:rsidRPr="00256315">
                    <w:rPr>
                      <w:b/>
                      <w:bCs/>
                      <w:szCs w:val="24"/>
                    </w:rPr>
                    <w:t>0,0</w:t>
                  </w:r>
                  <w:r w:rsidR="00A01271" w:rsidRPr="00256315">
                    <w:rPr>
                      <w:b/>
                      <w:bCs/>
                      <w:szCs w:val="24"/>
                    </w:rPr>
                    <w:t>700</w:t>
                  </w:r>
                </w:p>
              </w:tc>
              <w:tc>
                <w:tcPr>
                  <w:tcW w:w="1353" w:type="dxa"/>
                  <w:tcBorders>
                    <w:top w:val="nil"/>
                    <w:left w:val="nil"/>
                    <w:bottom w:val="single" w:sz="8" w:space="0" w:color="auto"/>
                    <w:right w:val="single" w:sz="8" w:space="0" w:color="auto"/>
                  </w:tcBorders>
                  <w:tcMar>
                    <w:top w:w="0" w:type="dxa"/>
                    <w:left w:w="108" w:type="dxa"/>
                    <w:bottom w:w="0" w:type="dxa"/>
                    <w:right w:w="108" w:type="dxa"/>
                  </w:tcMar>
                </w:tcPr>
                <w:p w14:paraId="6C0076EB" w14:textId="77777777" w:rsidR="00541B8D" w:rsidRPr="00256315" w:rsidRDefault="00541B8D" w:rsidP="00541B8D">
                  <w:pPr>
                    <w:spacing w:line="336" w:lineRule="atLeast"/>
                    <w:ind w:right="57"/>
                    <w:jc w:val="center"/>
                    <w:rPr>
                      <w:szCs w:val="24"/>
                    </w:rPr>
                  </w:pPr>
                  <w:r w:rsidRPr="00256315">
                    <w:rPr>
                      <w:szCs w:val="24"/>
                    </w:rPr>
                    <w:t>0,0</w:t>
                  </w:r>
                  <w:r w:rsidR="00A01271" w:rsidRPr="00256315">
                    <w:rPr>
                      <w:szCs w:val="24"/>
                    </w:rPr>
                    <w:t>847</w:t>
                  </w:r>
                </w:p>
              </w:tc>
            </w:tr>
          </w:tbl>
          <w:p w14:paraId="4D186A84" w14:textId="77777777" w:rsidR="00541B8D" w:rsidRPr="00256315" w:rsidRDefault="00541B8D" w:rsidP="008C1B70">
            <w:pPr>
              <w:tabs>
                <w:tab w:val="left" w:pos="0"/>
              </w:tabs>
              <w:jc w:val="both"/>
              <w:rPr>
                <w:sz w:val="22"/>
              </w:rPr>
            </w:pPr>
          </w:p>
          <w:p w14:paraId="3CBB310E" w14:textId="77777777" w:rsidR="00541B8D" w:rsidRPr="00256315" w:rsidRDefault="00541B8D" w:rsidP="008C1B70">
            <w:pPr>
              <w:tabs>
                <w:tab w:val="left" w:pos="0"/>
              </w:tabs>
              <w:jc w:val="both"/>
              <w:rPr>
                <w:sz w:val="22"/>
              </w:rPr>
            </w:pPr>
            <w:r w:rsidRPr="00256315">
              <w:rPr>
                <w:b/>
                <w:bCs/>
                <w:sz w:val="22"/>
              </w:rPr>
              <w:t>Planuojamas administravimo tarifo įkainių pokytis po perskaičiavimo</w:t>
            </w:r>
            <w:r w:rsidRPr="00256315">
              <w:rPr>
                <w:sz w:val="22"/>
              </w:rPr>
              <w:t>:</w:t>
            </w:r>
          </w:p>
          <w:p w14:paraId="7455BD86" w14:textId="77777777" w:rsidR="00986CD4" w:rsidRPr="00256315" w:rsidRDefault="00986CD4" w:rsidP="008C1B70">
            <w:pPr>
              <w:tabs>
                <w:tab w:val="left" w:pos="0"/>
              </w:tabs>
              <w:jc w:val="both"/>
              <w:rPr>
                <w:sz w:val="22"/>
              </w:rPr>
            </w:pPr>
          </w:p>
          <w:p w14:paraId="1854BCE9" w14:textId="77777777" w:rsidR="00541B8D" w:rsidRPr="00256315" w:rsidRDefault="00541B8D" w:rsidP="008C1B70">
            <w:pPr>
              <w:tabs>
                <w:tab w:val="left" w:pos="0"/>
              </w:tabs>
              <w:jc w:val="both"/>
              <w:rPr>
                <w:sz w:val="22"/>
              </w:rPr>
            </w:pPr>
            <w:r w:rsidRPr="00256315">
              <w:rPr>
                <w:sz w:val="22"/>
              </w:rPr>
              <w:t>(3 lentelė)</w:t>
            </w:r>
          </w:p>
          <w:tbl>
            <w:tblPr>
              <w:tblW w:w="8646" w:type="dxa"/>
              <w:tblInd w:w="8" w:type="dxa"/>
              <w:tblCellMar>
                <w:left w:w="0" w:type="dxa"/>
                <w:right w:w="0" w:type="dxa"/>
              </w:tblCellMar>
              <w:tblLook w:val="04A0" w:firstRow="1" w:lastRow="0" w:firstColumn="1" w:lastColumn="0" w:noHBand="0" w:noVBand="1"/>
            </w:tblPr>
            <w:tblGrid>
              <w:gridCol w:w="980"/>
              <w:gridCol w:w="1571"/>
              <w:gridCol w:w="1418"/>
              <w:gridCol w:w="1701"/>
              <w:gridCol w:w="1417"/>
              <w:gridCol w:w="1559"/>
            </w:tblGrid>
            <w:tr w:rsidR="006F516F" w:rsidRPr="00256315" w14:paraId="138E5561" w14:textId="77777777" w:rsidTr="006F516F">
              <w:tc>
                <w:tcPr>
                  <w:tcW w:w="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5DFFA9C" w14:textId="77777777" w:rsidR="006F516F" w:rsidRPr="00256315" w:rsidRDefault="006F516F" w:rsidP="00541B8D">
                  <w:pPr>
                    <w:jc w:val="center"/>
                    <w:rPr>
                      <w:szCs w:val="24"/>
                    </w:rPr>
                  </w:pPr>
                  <w:r w:rsidRPr="00256315">
                    <w:rPr>
                      <w:color w:val="000000"/>
                      <w:sz w:val="16"/>
                      <w:szCs w:val="16"/>
                    </w:rPr>
                    <w:t>Namų kategorijos pagal naudingą plotą</w:t>
                  </w:r>
                </w:p>
                <w:p w14:paraId="7C9DDC7A" w14:textId="77777777" w:rsidR="006F516F" w:rsidRPr="00256315" w:rsidRDefault="006F516F" w:rsidP="00541B8D">
                  <w:pPr>
                    <w:jc w:val="center"/>
                    <w:rPr>
                      <w:szCs w:val="24"/>
                    </w:rPr>
                  </w:pPr>
                  <w:r w:rsidRPr="00256315">
                    <w:rPr>
                      <w:color w:val="000000"/>
                      <w:sz w:val="16"/>
                      <w:szCs w:val="16"/>
                    </w:rPr>
                    <w:t>m</w:t>
                  </w:r>
                  <w:r w:rsidRPr="00256315">
                    <w:rPr>
                      <w:color w:val="000000"/>
                      <w:sz w:val="16"/>
                      <w:szCs w:val="16"/>
                      <w:vertAlign w:val="superscript"/>
                    </w:rPr>
                    <w:t>2</w:t>
                  </w:r>
                </w:p>
              </w:tc>
              <w:tc>
                <w:tcPr>
                  <w:tcW w:w="15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204229" w14:textId="77777777" w:rsidR="006F516F" w:rsidRPr="00256315" w:rsidRDefault="006F516F" w:rsidP="00541B8D">
                  <w:pPr>
                    <w:jc w:val="center"/>
                    <w:rPr>
                      <w:szCs w:val="24"/>
                    </w:rPr>
                  </w:pPr>
                  <w:r w:rsidRPr="00256315">
                    <w:rPr>
                      <w:sz w:val="16"/>
                      <w:szCs w:val="16"/>
                    </w:rPr>
                    <w:t>Administravimo tarifas</w:t>
                  </w:r>
                  <w:r w:rsidR="00D90752" w:rsidRPr="00256315">
                    <w:rPr>
                      <w:sz w:val="16"/>
                      <w:szCs w:val="16"/>
                    </w:rPr>
                    <w:t xml:space="preserve"> galiojantis</w:t>
                  </w:r>
                </w:p>
                <w:p w14:paraId="2396F2E4" w14:textId="77777777" w:rsidR="006F516F" w:rsidRPr="00256315" w:rsidRDefault="006F516F" w:rsidP="00541B8D">
                  <w:pPr>
                    <w:jc w:val="center"/>
                    <w:rPr>
                      <w:szCs w:val="24"/>
                    </w:rPr>
                  </w:pPr>
                  <w:r w:rsidRPr="00256315">
                    <w:rPr>
                      <w:sz w:val="16"/>
                      <w:szCs w:val="16"/>
                    </w:rPr>
                    <w:t>Eur/1 m²</w:t>
                  </w:r>
                </w:p>
                <w:p w14:paraId="70F0E00E" w14:textId="77777777" w:rsidR="006F516F" w:rsidRPr="00256315" w:rsidRDefault="006F516F" w:rsidP="00541B8D">
                  <w:pPr>
                    <w:jc w:val="center"/>
                    <w:rPr>
                      <w:sz w:val="16"/>
                      <w:szCs w:val="16"/>
                    </w:rPr>
                  </w:pPr>
                  <w:r w:rsidRPr="00256315">
                    <w:rPr>
                      <w:sz w:val="16"/>
                      <w:szCs w:val="16"/>
                    </w:rPr>
                    <w:t>(be</w:t>
                  </w:r>
                  <w:r w:rsidR="00126C8B" w:rsidRPr="00256315">
                    <w:rPr>
                      <w:sz w:val="16"/>
                      <w:szCs w:val="16"/>
                    </w:rPr>
                    <w:t xml:space="preserve"> </w:t>
                  </w:r>
                  <w:r w:rsidRPr="00256315">
                    <w:rPr>
                      <w:sz w:val="16"/>
                      <w:szCs w:val="16"/>
                    </w:rPr>
                    <w:t>PVM)</w:t>
                  </w:r>
                </w:p>
                <w:p w14:paraId="63D06102" w14:textId="77777777" w:rsidR="00D90752" w:rsidRPr="00256315" w:rsidRDefault="00D90752" w:rsidP="00541B8D">
                  <w:pPr>
                    <w:jc w:val="center"/>
                    <w:rPr>
                      <w:szCs w:val="24"/>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268788" w14:textId="77777777" w:rsidR="006F516F" w:rsidRPr="00256315" w:rsidRDefault="006F516F" w:rsidP="00541B8D">
                  <w:pPr>
                    <w:jc w:val="center"/>
                    <w:rPr>
                      <w:szCs w:val="24"/>
                    </w:rPr>
                  </w:pPr>
                  <w:r w:rsidRPr="00256315">
                    <w:rPr>
                      <w:sz w:val="16"/>
                      <w:szCs w:val="16"/>
                    </w:rPr>
                    <w:t>Administravimo tarifas</w:t>
                  </w:r>
                </w:p>
                <w:p w14:paraId="7D2A4545" w14:textId="77777777" w:rsidR="006F516F" w:rsidRPr="00256315" w:rsidRDefault="006F516F" w:rsidP="00541B8D">
                  <w:pPr>
                    <w:jc w:val="center"/>
                    <w:rPr>
                      <w:szCs w:val="24"/>
                    </w:rPr>
                  </w:pPr>
                  <w:r w:rsidRPr="00256315">
                    <w:rPr>
                      <w:sz w:val="16"/>
                      <w:szCs w:val="16"/>
                    </w:rPr>
                    <w:t>Eur/1 m²</w:t>
                  </w:r>
                </w:p>
                <w:p w14:paraId="59B0523D" w14:textId="77777777" w:rsidR="006F516F" w:rsidRPr="00256315" w:rsidRDefault="006F516F" w:rsidP="00541B8D">
                  <w:pPr>
                    <w:jc w:val="center"/>
                    <w:rPr>
                      <w:szCs w:val="24"/>
                    </w:rPr>
                  </w:pPr>
                  <w:r w:rsidRPr="00256315">
                    <w:rPr>
                      <w:sz w:val="16"/>
                      <w:szCs w:val="16"/>
                    </w:rPr>
                    <w:t>(su PVM)</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FD6D5" w14:textId="77777777" w:rsidR="006F516F" w:rsidRPr="00256315" w:rsidRDefault="006F516F" w:rsidP="00541B8D">
                  <w:pPr>
                    <w:jc w:val="center"/>
                    <w:rPr>
                      <w:szCs w:val="24"/>
                    </w:rPr>
                  </w:pPr>
                  <w:r w:rsidRPr="00256315">
                    <w:rPr>
                      <w:sz w:val="16"/>
                      <w:szCs w:val="16"/>
                    </w:rPr>
                    <w:t>Siūlomas tarifas</w:t>
                  </w:r>
                </w:p>
                <w:p w14:paraId="7DF1A010" w14:textId="77777777" w:rsidR="006F516F" w:rsidRPr="00256315" w:rsidRDefault="006F516F" w:rsidP="00541B8D">
                  <w:pPr>
                    <w:jc w:val="center"/>
                    <w:rPr>
                      <w:szCs w:val="24"/>
                    </w:rPr>
                  </w:pPr>
                  <w:r w:rsidRPr="00256315">
                    <w:rPr>
                      <w:sz w:val="16"/>
                      <w:szCs w:val="16"/>
                    </w:rPr>
                    <w:t>po</w:t>
                  </w:r>
                </w:p>
                <w:p w14:paraId="39967B3A" w14:textId="77777777" w:rsidR="006F516F" w:rsidRPr="00256315" w:rsidRDefault="006F516F" w:rsidP="00541B8D">
                  <w:pPr>
                    <w:jc w:val="center"/>
                    <w:rPr>
                      <w:szCs w:val="24"/>
                    </w:rPr>
                  </w:pPr>
                  <w:r w:rsidRPr="00256315">
                    <w:rPr>
                      <w:sz w:val="16"/>
                      <w:szCs w:val="16"/>
                    </w:rPr>
                    <w:t>perskaičiavimo</w:t>
                  </w:r>
                </w:p>
                <w:p w14:paraId="5D022BD2" w14:textId="77777777" w:rsidR="006F516F" w:rsidRPr="00256315" w:rsidRDefault="006F516F" w:rsidP="00541B8D">
                  <w:pPr>
                    <w:jc w:val="center"/>
                    <w:rPr>
                      <w:szCs w:val="24"/>
                    </w:rPr>
                  </w:pPr>
                  <w:r w:rsidRPr="00256315">
                    <w:rPr>
                      <w:sz w:val="16"/>
                      <w:szCs w:val="16"/>
                    </w:rPr>
                    <w:t>Eur/1 m²</w:t>
                  </w:r>
                </w:p>
                <w:p w14:paraId="375809A1" w14:textId="77777777" w:rsidR="006F516F" w:rsidRPr="00256315" w:rsidRDefault="006F516F" w:rsidP="00541B8D">
                  <w:pPr>
                    <w:jc w:val="center"/>
                    <w:rPr>
                      <w:szCs w:val="24"/>
                    </w:rPr>
                  </w:pPr>
                  <w:r w:rsidRPr="00256315">
                    <w:rPr>
                      <w:sz w:val="16"/>
                      <w:szCs w:val="16"/>
                    </w:rPr>
                    <w:t>(be PVM)</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76465F" w14:textId="77777777" w:rsidR="006F516F" w:rsidRPr="00256315" w:rsidRDefault="006F516F" w:rsidP="00541B8D">
                  <w:pPr>
                    <w:jc w:val="center"/>
                    <w:rPr>
                      <w:szCs w:val="24"/>
                    </w:rPr>
                  </w:pPr>
                  <w:r w:rsidRPr="00256315">
                    <w:rPr>
                      <w:sz w:val="16"/>
                      <w:szCs w:val="16"/>
                    </w:rPr>
                    <w:t>Siūlomas tarifas</w:t>
                  </w:r>
                </w:p>
                <w:p w14:paraId="1F767F08" w14:textId="77777777" w:rsidR="006F516F" w:rsidRPr="00256315" w:rsidRDefault="006F516F" w:rsidP="00541B8D">
                  <w:pPr>
                    <w:jc w:val="center"/>
                    <w:rPr>
                      <w:szCs w:val="24"/>
                    </w:rPr>
                  </w:pPr>
                  <w:r w:rsidRPr="00256315">
                    <w:rPr>
                      <w:sz w:val="16"/>
                      <w:szCs w:val="16"/>
                    </w:rPr>
                    <w:t>po</w:t>
                  </w:r>
                </w:p>
                <w:p w14:paraId="1FF42B8D" w14:textId="77777777" w:rsidR="006F516F" w:rsidRPr="00256315" w:rsidRDefault="006F516F" w:rsidP="00541B8D">
                  <w:pPr>
                    <w:jc w:val="center"/>
                    <w:rPr>
                      <w:szCs w:val="24"/>
                    </w:rPr>
                  </w:pPr>
                  <w:r w:rsidRPr="00256315">
                    <w:rPr>
                      <w:sz w:val="16"/>
                      <w:szCs w:val="16"/>
                    </w:rPr>
                    <w:t>perskaičiavimo</w:t>
                  </w:r>
                </w:p>
                <w:p w14:paraId="75378B4C" w14:textId="77777777" w:rsidR="006F516F" w:rsidRPr="00256315" w:rsidRDefault="006F516F" w:rsidP="00541B8D">
                  <w:pPr>
                    <w:jc w:val="center"/>
                    <w:rPr>
                      <w:szCs w:val="24"/>
                    </w:rPr>
                  </w:pPr>
                  <w:r w:rsidRPr="00256315">
                    <w:rPr>
                      <w:sz w:val="16"/>
                      <w:szCs w:val="16"/>
                    </w:rPr>
                    <w:t>Eur/1 m²</w:t>
                  </w:r>
                </w:p>
                <w:p w14:paraId="6EE7E2F6" w14:textId="77777777" w:rsidR="006F516F" w:rsidRPr="00256315" w:rsidRDefault="006F516F" w:rsidP="00541B8D">
                  <w:pPr>
                    <w:jc w:val="center"/>
                    <w:rPr>
                      <w:szCs w:val="24"/>
                    </w:rPr>
                  </w:pPr>
                  <w:r w:rsidRPr="00256315">
                    <w:rPr>
                      <w:sz w:val="16"/>
                      <w:szCs w:val="16"/>
                    </w:rPr>
                    <w:t>(su PVM)</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FAD70D" w14:textId="77777777" w:rsidR="006F516F" w:rsidRPr="00256315" w:rsidRDefault="006F516F" w:rsidP="00541B8D">
                  <w:pPr>
                    <w:jc w:val="center"/>
                    <w:rPr>
                      <w:szCs w:val="24"/>
                    </w:rPr>
                  </w:pPr>
                  <w:r w:rsidRPr="00256315">
                    <w:rPr>
                      <w:sz w:val="16"/>
                      <w:szCs w:val="16"/>
                    </w:rPr>
                    <w:t>Skirtumas</w:t>
                  </w:r>
                </w:p>
                <w:p w14:paraId="4218E5EA" w14:textId="77777777" w:rsidR="006F516F" w:rsidRPr="00256315" w:rsidRDefault="006F516F" w:rsidP="00541B8D">
                  <w:pPr>
                    <w:jc w:val="center"/>
                    <w:rPr>
                      <w:szCs w:val="24"/>
                    </w:rPr>
                  </w:pPr>
                  <w:r w:rsidRPr="00256315">
                    <w:rPr>
                      <w:sz w:val="16"/>
                      <w:szCs w:val="16"/>
                    </w:rPr>
                    <w:t>po</w:t>
                  </w:r>
                </w:p>
                <w:p w14:paraId="503913D4" w14:textId="77777777" w:rsidR="006F516F" w:rsidRPr="00256315" w:rsidRDefault="006F516F" w:rsidP="00541B8D">
                  <w:pPr>
                    <w:jc w:val="center"/>
                    <w:rPr>
                      <w:szCs w:val="24"/>
                    </w:rPr>
                  </w:pPr>
                  <w:r w:rsidRPr="00256315">
                    <w:rPr>
                      <w:sz w:val="16"/>
                      <w:szCs w:val="16"/>
                    </w:rPr>
                    <w:t>perskaičiavimo</w:t>
                  </w:r>
                </w:p>
                <w:p w14:paraId="38BA9358" w14:textId="77777777" w:rsidR="006F516F" w:rsidRPr="00256315" w:rsidRDefault="006F516F" w:rsidP="00541B8D">
                  <w:pPr>
                    <w:jc w:val="center"/>
                    <w:rPr>
                      <w:szCs w:val="24"/>
                    </w:rPr>
                  </w:pPr>
                  <w:r w:rsidRPr="00256315">
                    <w:rPr>
                      <w:sz w:val="16"/>
                      <w:szCs w:val="16"/>
                    </w:rPr>
                    <w:t>Eur</w:t>
                  </w:r>
                </w:p>
                <w:p w14:paraId="68B35CF3" w14:textId="77777777" w:rsidR="006F516F" w:rsidRPr="00256315" w:rsidRDefault="006F516F" w:rsidP="00541B8D">
                  <w:pPr>
                    <w:jc w:val="center"/>
                    <w:rPr>
                      <w:szCs w:val="24"/>
                    </w:rPr>
                  </w:pPr>
                  <w:r w:rsidRPr="00256315">
                    <w:rPr>
                      <w:sz w:val="16"/>
                      <w:szCs w:val="16"/>
                    </w:rPr>
                    <w:t>Eur/1 m²</w:t>
                  </w:r>
                </w:p>
                <w:p w14:paraId="4401C924" w14:textId="77777777" w:rsidR="006F516F" w:rsidRPr="00256315" w:rsidRDefault="006F516F" w:rsidP="00541B8D">
                  <w:pPr>
                    <w:jc w:val="center"/>
                    <w:rPr>
                      <w:szCs w:val="24"/>
                    </w:rPr>
                  </w:pPr>
                  <w:r w:rsidRPr="00256315">
                    <w:rPr>
                      <w:sz w:val="16"/>
                      <w:szCs w:val="16"/>
                    </w:rPr>
                    <w:t>(be PVM)</w:t>
                  </w:r>
                </w:p>
              </w:tc>
            </w:tr>
            <w:tr w:rsidR="006F516F" w:rsidRPr="00256315" w14:paraId="4555A7C4" w14:textId="77777777" w:rsidTr="00B019CF">
              <w:trPr>
                <w:trHeight w:val="449"/>
              </w:trPr>
              <w:tc>
                <w:tcPr>
                  <w:tcW w:w="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66E21E9" w14:textId="77777777" w:rsidR="006F516F" w:rsidRPr="00256315" w:rsidRDefault="006F516F" w:rsidP="00541B8D">
                  <w:pPr>
                    <w:jc w:val="center"/>
                    <w:rPr>
                      <w:szCs w:val="24"/>
                    </w:rPr>
                  </w:pPr>
                  <w:r w:rsidRPr="00256315">
                    <w:rPr>
                      <w:color w:val="000000"/>
                      <w:sz w:val="18"/>
                      <w:szCs w:val="18"/>
                    </w:rPr>
                    <w:t>iki 1000</w:t>
                  </w:r>
                </w:p>
              </w:tc>
              <w:tc>
                <w:tcPr>
                  <w:tcW w:w="1571" w:type="dxa"/>
                  <w:tcBorders>
                    <w:top w:val="nil"/>
                    <w:left w:val="nil"/>
                    <w:bottom w:val="single" w:sz="8" w:space="0" w:color="auto"/>
                    <w:right w:val="single" w:sz="8" w:space="0" w:color="auto"/>
                  </w:tcBorders>
                  <w:tcMar>
                    <w:top w:w="0" w:type="dxa"/>
                    <w:left w:w="108" w:type="dxa"/>
                    <w:bottom w:w="0" w:type="dxa"/>
                    <w:right w:w="108" w:type="dxa"/>
                  </w:tcMar>
                </w:tcPr>
                <w:p w14:paraId="5A17BFE9" w14:textId="77777777" w:rsidR="006F516F" w:rsidRPr="00256315" w:rsidRDefault="00B019CF" w:rsidP="00541B8D">
                  <w:pPr>
                    <w:jc w:val="center"/>
                    <w:rPr>
                      <w:szCs w:val="24"/>
                    </w:rPr>
                  </w:pPr>
                  <w:r w:rsidRPr="00256315">
                    <w:rPr>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2A266F" w14:textId="77777777" w:rsidR="006F516F" w:rsidRPr="00256315" w:rsidRDefault="00B019CF" w:rsidP="00541B8D">
                  <w:pPr>
                    <w:jc w:val="center"/>
                    <w:rPr>
                      <w:szCs w:val="24"/>
                    </w:rPr>
                  </w:pPr>
                  <w:r w:rsidRPr="00256315">
                    <w:rPr>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8115387" w14:textId="77777777" w:rsidR="006F516F" w:rsidRPr="00256315" w:rsidRDefault="006F516F" w:rsidP="00541B8D">
                  <w:pPr>
                    <w:jc w:val="center"/>
                    <w:rPr>
                      <w:szCs w:val="24"/>
                    </w:rPr>
                  </w:pPr>
                  <w:r w:rsidRPr="00256315">
                    <w:rPr>
                      <w:color w:val="000000"/>
                      <w:szCs w:val="24"/>
                    </w:rPr>
                    <w:t>0,1</w:t>
                  </w:r>
                  <w:r w:rsidR="003E44C9" w:rsidRPr="00256315">
                    <w:rPr>
                      <w:color w:val="000000"/>
                      <w:szCs w:val="24"/>
                    </w:rPr>
                    <w:t>068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BBE4EC4" w14:textId="77777777" w:rsidR="006F516F" w:rsidRPr="00256315" w:rsidRDefault="006F516F" w:rsidP="00541B8D">
                  <w:pPr>
                    <w:jc w:val="center"/>
                    <w:rPr>
                      <w:szCs w:val="24"/>
                    </w:rPr>
                  </w:pPr>
                  <w:r w:rsidRPr="00256315">
                    <w:rPr>
                      <w:color w:val="000000"/>
                      <w:szCs w:val="24"/>
                    </w:rPr>
                    <w:t>0,1</w:t>
                  </w:r>
                  <w:r w:rsidR="003E44C9" w:rsidRPr="00256315">
                    <w:rPr>
                      <w:color w:val="000000"/>
                      <w:szCs w:val="24"/>
                    </w:rPr>
                    <w:t>292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EE07E2F" w14:textId="77777777" w:rsidR="006F516F" w:rsidRPr="00256315" w:rsidRDefault="00B019CF" w:rsidP="00541B8D">
                  <w:pPr>
                    <w:jc w:val="center"/>
                    <w:rPr>
                      <w:szCs w:val="24"/>
                    </w:rPr>
                  </w:pPr>
                  <w:r w:rsidRPr="00256315">
                    <w:rPr>
                      <w:color w:val="000000"/>
                      <w:szCs w:val="24"/>
                    </w:rPr>
                    <w:t>-</w:t>
                  </w:r>
                </w:p>
              </w:tc>
            </w:tr>
            <w:tr w:rsidR="006F516F" w:rsidRPr="00256315" w14:paraId="12E34659" w14:textId="77777777" w:rsidTr="006F516F">
              <w:tc>
                <w:tcPr>
                  <w:tcW w:w="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211EA1E" w14:textId="77777777" w:rsidR="006F516F" w:rsidRPr="00256315" w:rsidRDefault="006F516F" w:rsidP="00541B8D">
                  <w:pPr>
                    <w:jc w:val="center"/>
                    <w:rPr>
                      <w:szCs w:val="24"/>
                    </w:rPr>
                  </w:pPr>
                  <w:r w:rsidRPr="00256315">
                    <w:rPr>
                      <w:color w:val="000000"/>
                      <w:sz w:val="18"/>
                      <w:szCs w:val="18"/>
                    </w:rPr>
                    <w:t>1001</w:t>
                  </w:r>
                  <w:r w:rsidRPr="00256315">
                    <w:rPr>
                      <w:sz w:val="18"/>
                      <w:szCs w:val="18"/>
                    </w:rPr>
                    <w:t>–3</w:t>
                  </w:r>
                  <w:r w:rsidRPr="00256315">
                    <w:rPr>
                      <w:color w:val="000000"/>
                      <w:sz w:val="18"/>
                      <w:szCs w:val="18"/>
                    </w:rPr>
                    <w:t>000</w:t>
                  </w:r>
                </w:p>
              </w:tc>
              <w:tc>
                <w:tcPr>
                  <w:tcW w:w="1571" w:type="dxa"/>
                  <w:tcBorders>
                    <w:top w:val="nil"/>
                    <w:left w:val="nil"/>
                    <w:bottom w:val="single" w:sz="8" w:space="0" w:color="auto"/>
                    <w:right w:val="single" w:sz="8" w:space="0" w:color="auto"/>
                  </w:tcBorders>
                  <w:tcMar>
                    <w:top w:w="0" w:type="dxa"/>
                    <w:left w:w="108" w:type="dxa"/>
                    <w:bottom w:w="0" w:type="dxa"/>
                    <w:right w:w="108" w:type="dxa"/>
                  </w:tcMar>
                </w:tcPr>
                <w:p w14:paraId="044F2132" w14:textId="77777777" w:rsidR="006F516F" w:rsidRPr="00256315" w:rsidRDefault="006F516F" w:rsidP="00541B8D">
                  <w:pPr>
                    <w:jc w:val="center"/>
                    <w:rPr>
                      <w:szCs w:val="24"/>
                    </w:rPr>
                  </w:pPr>
                  <w:r w:rsidRPr="00256315">
                    <w:rPr>
                      <w:color w:val="000000"/>
                      <w:szCs w:val="24"/>
                    </w:rPr>
                    <w:t>0,0863</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AB939A8" w14:textId="77777777" w:rsidR="006F516F" w:rsidRPr="00256315" w:rsidRDefault="006F516F" w:rsidP="00541B8D">
                  <w:pPr>
                    <w:jc w:val="center"/>
                    <w:rPr>
                      <w:szCs w:val="24"/>
                    </w:rPr>
                  </w:pPr>
                  <w:r w:rsidRPr="00256315">
                    <w:rPr>
                      <w:color w:val="000000"/>
                      <w:szCs w:val="24"/>
                    </w:rPr>
                    <w:t>0,</w:t>
                  </w:r>
                  <w:r w:rsidR="005042A1" w:rsidRPr="00256315">
                    <w:rPr>
                      <w:color w:val="000000"/>
                      <w:szCs w:val="24"/>
                    </w:rPr>
                    <w:t>104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EE5BF3B" w14:textId="77777777" w:rsidR="006F516F" w:rsidRPr="00256315" w:rsidRDefault="006F516F" w:rsidP="00541B8D">
                  <w:pPr>
                    <w:jc w:val="center"/>
                    <w:rPr>
                      <w:szCs w:val="24"/>
                    </w:rPr>
                  </w:pPr>
                  <w:r w:rsidRPr="00256315">
                    <w:rPr>
                      <w:color w:val="000000"/>
                      <w:szCs w:val="24"/>
                    </w:rPr>
                    <w:t>0,</w:t>
                  </w:r>
                  <w:r w:rsidR="003E44C9" w:rsidRPr="00256315">
                    <w:rPr>
                      <w:color w:val="000000"/>
                      <w:szCs w:val="24"/>
                    </w:rPr>
                    <w:t>0921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EE629DA" w14:textId="77777777" w:rsidR="006F516F" w:rsidRPr="00256315" w:rsidRDefault="006F516F" w:rsidP="00541B8D">
                  <w:pPr>
                    <w:jc w:val="center"/>
                    <w:rPr>
                      <w:szCs w:val="24"/>
                    </w:rPr>
                  </w:pPr>
                  <w:r w:rsidRPr="00256315">
                    <w:rPr>
                      <w:color w:val="000000"/>
                      <w:szCs w:val="24"/>
                    </w:rPr>
                    <w:t>0,1</w:t>
                  </w:r>
                  <w:r w:rsidR="003E44C9" w:rsidRPr="00256315">
                    <w:rPr>
                      <w:color w:val="000000"/>
                      <w:szCs w:val="24"/>
                    </w:rPr>
                    <w:t>114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EE06DDB" w14:textId="77777777" w:rsidR="006F516F" w:rsidRPr="00256315" w:rsidRDefault="006F516F" w:rsidP="00541B8D">
                  <w:pPr>
                    <w:jc w:val="center"/>
                    <w:rPr>
                      <w:szCs w:val="24"/>
                    </w:rPr>
                  </w:pPr>
                  <w:r w:rsidRPr="00256315">
                    <w:rPr>
                      <w:color w:val="000000"/>
                      <w:szCs w:val="24"/>
                    </w:rPr>
                    <w:t>0,0</w:t>
                  </w:r>
                  <w:r w:rsidR="00F471EA" w:rsidRPr="00256315">
                    <w:rPr>
                      <w:color w:val="000000"/>
                      <w:szCs w:val="24"/>
                    </w:rPr>
                    <w:t>06</w:t>
                  </w:r>
                </w:p>
              </w:tc>
            </w:tr>
            <w:tr w:rsidR="006F516F" w:rsidRPr="00256315" w14:paraId="3147D3DA" w14:textId="77777777" w:rsidTr="006F516F">
              <w:tc>
                <w:tcPr>
                  <w:tcW w:w="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40E8B5D" w14:textId="77777777" w:rsidR="006F516F" w:rsidRPr="00256315" w:rsidRDefault="006F516F" w:rsidP="00541B8D">
                  <w:pPr>
                    <w:jc w:val="center"/>
                    <w:rPr>
                      <w:szCs w:val="24"/>
                    </w:rPr>
                  </w:pPr>
                  <w:r w:rsidRPr="00256315">
                    <w:rPr>
                      <w:color w:val="000000"/>
                      <w:sz w:val="18"/>
                      <w:szCs w:val="18"/>
                    </w:rPr>
                    <w:t>daugiau kaip 3000</w:t>
                  </w:r>
                </w:p>
              </w:tc>
              <w:tc>
                <w:tcPr>
                  <w:tcW w:w="1571" w:type="dxa"/>
                  <w:tcBorders>
                    <w:top w:val="nil"/>
                    <w:left w:val="nil"/>
                    <w:bottom w:val="single" w:sz="8" w:space="0" w:color="auto"/>
                    <w:right w:val="single" w:sz="8" w:space="0" w:color="auto"/>
                  </w:tcBorders>
                  <w:tcMar>
                    <w:top w:w="0" w:type="dxa"/>
                    <w:left w:w="108" w:type="dxa"/>
                    <w:bottom w:w="0" w:type="dxa"/>
                    <w:right w:w="108" w:type="dxa"/>
                  </w:tcMar>
                </w:tcPr>
                <w:p w14:paraId="2D05501E" w14:textId="77777777" w:rsidR="006F516F" w:rsidRPr="00256315" w:rsidRDefault="00B019CF" w:rsidP="00541B8D">
                  <w:pPr>
                    <w:jc w:val="center"/>
                    <w:rPr>
                      <w:szCs w:val="24"/>
                    </w:rPr>
                  </w:pPr>
                  <w:r w:rsidRPr="00256315">
                    <w:rPr>
                      <w:color w:val="000000"/>
                      <w:szCs w:val="24"/>
                    </w:rPr>
                    <w:t>-</w:t>
                  </w:r>
                  <w:r w:rsidR="006F516F" w:rsidRPr="00256315">
                    <w:rPr>
                      <w:color w:val="000000"/>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DF66DD" w14:textId="77777777" w:rsidR="006F516F" w:rsidRPr="00256315" w:rsidRDefault="006F516F" w:rsidP="00541B8D">
                  <w:pPr>
                    <w:jc w:val="center"/>
                    <w:rPr>
                      <w:szCs w:val="24"/>
                    </w:rPr>
                  </w:pPr>
                  <w:r w:rsidRPr="00256315">
                    <w:rPr>
                      <w:color w:val="000000"/>
                      <w:szCs w:val="24"/>
                    </w:rPr>
                    <w:t> </w:t>
                  </w:r>
                  <w:r w:rsidR="00B019CF" w:rsidRPr="00256315">
                    <w:rPr>
                      <w:color w:val="000000"/>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87A0F90" w14:textId="77777777" w:rsidR="006F516F" w:rsidRPr="00256315" w:rsidRDefault="006F516F" w:rsidP="00541B8D">
                  <w:pPr>
                    <w:jc w:val="center"/>
                    <w:rPr>
                      <w:szCs w:val="24"/>
                    </w:rPr>
                  </w:pPr>
                  <w:r w:rsidRPr="00256315">
                    <w:rPr>
                      <w:color w:val="000000"/>
                      <w:szCs w:val="24"/>
                    </w:rPr>
                    <w:t>0,0</w:t>
                  </w:r>
                  <w:r w:rsidR="003E44C9" w:rsidRPr="00256315">
                    <w:rPr>
                      <w:color w:val="000000"/>
                      <w:szCs w:val="24"/>
                    </w:rPr>
                    <w:t>700</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DB3FB00" w14:textId="77777777" w:rsidR="006F516F" w:rsidRPr="00256315" w:rsidRDefault="006F516F" w:rsidP="00541B8D">
                  <w:pPr>
                    <w:jc w:val="center"/>
                    <w:rPr>
                      <w:szCs w:val="24"/>
                    </w:rPr>
                  </w:pPr>
                  <w:r w:rsidRPr="00256315">
                    <w:rPr>
                      <w:color w:val="000000"/>
                      <w:szCs w:val="24"/>
                    </w:rPr>
                    <w:t>0,0</w:t>
                  </w:r>
                  <w:r w:rsidR="003E44C9" w:rsidRPr="00256315">
                    <w:rPr>
                      <w:color w:val="000000"/>
                      <w:szCs w:val="24"/>
                    </w:rPr>
                    <w:t>847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CB11A38" w14:textId="77777777" w:rsidR="006F516F" w:rsidRPr="00256315" w:rsidRDefault="00B019CF" w:rsidP="00B019CF">
                  <w:pPr>
                    <w:jc w:val="center"/>
                    <w:rPr>
                      <w:szCs w:val="24"/>
                    </w:rPr>
                  </w:pPr>
                  <w:r w:rsidRPr="00256315">
                    <w:rPr>
                      <w:szCs w:val="24"/>
                    </w:rPr>
                    <w:t>-</w:t>
                  </w:r>
                </w:p>
              </w:tc>
            </w:tr>
          </w:tbl>
          <w:p w14:paraId="2B970F43" w14:textId="77777777" w:rsidR="00541B8D" w:rsidRPr="00256315" w:rsidRDefault="00541B8D" w:rsidP="008C1B70">
            <w:pPr>
              <w:tabs>
                <w:tab w:val="left" w:pos="0"/>
              </w:tabs>
              <w:jc w:val="both"/>
              <w:rPr>
                <w:sz w:val="22"/>
              </w:rPr>
            </w:pPr>
          </w:p>
          <w:p w14:paraId="5D31589A" w14:textId="77777777" w:rsidR="000402DB" w:rsidRPr="00256315" w:rsidRDefault="000402DB" w:rsidP="00AA560D">
            <w:pPr>
              <w:tabs>
                <w:tab w:val="left" w:pos="0"/>
              </w:tabs>
              <w:jc w:val="both"/>
              <w:rPr>
                <w:sz w:val="22"/>
              </w:rPr>
            </w:pPr>
          </w:p>
        </w:tc>
      </w:tr>
      <w:tr w:rsidR="006A29E6" w14:paraId="5A5FF943" w14:textId="77777777" w:rsidTr="00184F89">
        <w:tc>
          <w:tcPr>
            <w:tcW w:w="9806" w:type="dxa"/>
          </w:tcPr>
          <w:p w14:paraId="0F7AD1EB"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75D3D359" w14:textId="77777777" w:rsidR="006A29E6" w:rsidRDefault="00324AA6" w:rsidP="007371F4">
            <w:pPr>
              <w:tabs>
                <w:tab w:val="left" w:pos="0"/>
              </w:tabs>
              <w:jc w:val="both"/>
              <w:rPr>
                <w:sz w:val="22"/>
              </w:rPr>
            </w:pPr>
            <w:r>
              <w:rPr>
                <w:sz w:val="22"/>
              </w:rPr>
              <w:t xml:space="preserve">Taip </w:t>
            </w:r>
          </w:p>
        </w:tc>
      </w:tr>
      <w:tr w:rsidR="006A29E6" w14:paraId="71EFEE69" w14:textId="77777777" w:rsidTr="00184F89">
        <w:tc>
          <w:tcPr>
            <w:tcW w:w="9806" w:type="dxa"/>
          </w:tcPr>
          <w:p w14:paraId="2EEA69F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21D16FE" w14:textId="77777777" w:rsidTr="00184F89">
        <w:tc>
          <w:tcPr>
            <w:tcW w:w="9806" w:type="dxa"/>
          </w:tcPr>
          <w:p w14:paraId="1C9A2F81" w14:textId="77777777" w:rsidR="006A29E6" w:rsidRDefault="00184F89" w:rsidP="007371F4">
            <w:pPr>
              <w:tabs>
                <w:tab w:val="left" w:pos="0"/>
              </w:tabs>
              <w:jc w:val="both"/>
              <w:rPr>
                <w:sz w:val="22"/>
              </w:rPr>
            </w:pPr>
            <w:r>
              <w:rPr>
                <w:sz w:val="22"/>
              </w:rPr>
              <w:t>Iniciatorius – Jurbarko rajono savivaldybės taryba</w:t>
            </w:r>
          </w:p>
        </w:tc>
      </w:tr>
      <w:tr w:rsidR="006A29E6" w14:paraId="5B85908A" w14:textId="77777777" w:rsidTr="00184F89">
        <w:tc>
          <w:tcPr>
            <w:tcW w:w="9806" w:type="dxa"/>
          </w:tcPr>
          <w:p w14:paraId="1107F1C8" w14:textId="77777777" w:rsidR="006A29E6" w:rsidRDefault="006A29E6" w:rsidP="007371F4">
            <w:pPr>
              <w:tabs>
                <w:tab w:val="left" w:pos="0"/>
              </w:tabs>
              <w:rPr>
                <w:b/>
                <w:bCs/>
                <w:i/>
                <w:iCs/>
                <w:sz w:val="22"/>
              </w:rPr>
            </w:pPr>
            <w:r>
              <w:rPr>
                <w:b/>
                <w:bCs/>
                <w:i/>
                <w:iCs/>
                <w:sz w:val="22"/>
              </w:rPr>
              <w:t>9. Kiti, autorių nuomone, reikalingi pagrindimai ir paaiškinimai.</w:t>
            </w:r>
          </w:p>
          <w:p w14:paraId="78D34185" w14:textId="77777777" w:rsidR="006A29E6" w:rsidRPr="00184F89" w:rsidRDefault="00184F89" w:rsidP="007371F4">
            <w:pPr>
              <w:tabs>
                <w:tab w:val="left" w:pos="0"/>
              </w:tabs>
              <w:rPr>
                <w:sz w:val="22"/>
              </w:rPr>
            </w:pPr>
            <w:r>
              <w:rPr>
                <w:sz w:val="22"/>
              </w:rPr>
              <w:t>-</w:t>
            </w:r>
          </w:p>
        </w:tc>
      </w:tr>
      <w:tr w:rsidR="006A29E6" w14:paraId="575EBFB7" w14:textId="77777777" w:rsidTr="00184F89">
        <w:tc>
          <w:tcPr>
            <w:tcW w:w="9806" w:type="dxa"/>
          </w:tcPr>
          <w:p w14:paraId="2E06D67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14EB76A" w14:textId="77777777" w:rsidTr="00184F89">
        <w:tc>
          <w:tcPr>
            <w:tcW w:w="9806" w:type="dxa"/>
          </w:tcPr>
          <w:p w14:paraId="68EDAE90" w14:textId="77777777" w:rsidR="006A29E6" w:rsidRDefault="006A29E6" w:rsidP="007371F4">
            <w:pPr>
              <w:tabs>
                <w:tab w:val="left" w:pos="0"/>
              </w:tabs>
              <w:jc w:val="both"/>
              <w:rPr>
                <w:b/>
                <w:i/>
                <w:sz w:val="22"/>
              </w:rPr>
            </w:pPr>
          </w:p>
        </w:tc>
      </w:tr>
    </w:tbl>
    <w:p w14:paraId="43DEFC9A" w14:textId="77777777" w:rsidR="00503DCA" w:rsidRDefault="00503DCA" w:rsidP="006A29E6"/>
    <w:p w14:paraId="5C8D8865" w14:textId="77777777" w:rsidR="00986CD4" w:rsidRDefault="00986CD4" w:rsidP="00B668F0"/>
    <w:p w14:paraId="3CB677F0" w14:textId="77777777" w:rsidR="00B668F0" w:rsidRDefault="00B668F0" w:rsidP="00B668F0">
      <w:r>
        <w:t>Parengė</w:t>
      </w:r>
    </w:p>
    <w:p w14:paraId="3F240595" w14:textId="77777777" w:rsidR="00B668F0" w:rsidRDefault="00CA4E8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Romanas Semaška</w:t>
      </w:r>
      <w:r>
        <w:rPr>
          <w:lang w:eastAsia="de-DE"/>
        </w:rPr>
        <w:fldChar w:fldCharType="end"/>
      </w:r>
    </w:p>
    <w:p w14:paraId="63F70556" w14:textId="77777777" w:rsidR="006A29E6" w:rsidRDefault="00CA4E8C" w:rsidP="00503DCA">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73BAC" w14:textId="77777777" w:rsidR="003A0C6A" w:rsidRDefault="003A0C6A">
      <w:r>
        <w:separator/>
      </w:r>
    </w:p>
  </w:endnote>
  <w:endnote w:type="continuationSeparator" w:id="0">
    <w:p w14:paraId="64D91519" w14:textId="77777777" w:rsidR="003A0C6A" w:rsidRDefault="003A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FE4C" w14:textId="77777777" w:rsidR="003A0C6A" w:rsidRDefault="003A0C6A">
      <w:r>
        <w:separator/>
      </w:r>
    </w:p>
  </w:footnote>
  <w:footnote w:type="continuationSeparator" w:id="0">
    <w:p w14:paraId="6BF7C187" w14:textId="77777777" w:rsidR="003A0C6A" w:rsidRDefault="003A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AB73" w14:textId="77777777" w:rsidR="00FC1CD3" w:rsidRDefault="00CA4E8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92182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547B" w14:textId="77777777" w:rsidR="00FC1CD3" w:rsidRDefault="00FC1CD3">
    <w:pPr>
      <w:pStyle w:val="Antrats"/>
      <w:framePr w:wrap="around" w:vAnchor="text" w:hAnchor="margin" w:xAlign="center" w:y="1"/>
      <w:rPr>
        <w:rStyle w:val="Puslapionumeris"/>
      </w:rPr>
    </w:pPr>
  </w:p>
  <w:p w14:paraId="3416A5A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85173906">
    <w:abstractNumId w:val="3"/>
  </w:num>
  <w:num w:numId="2" w16cid:durableId="1807969456">
    <w:abstractNumId w:val="2"/>
  </w:num>
  <w:num w:numId="3" w16cid:durableId="2043742114">
    <w:abstractNumId w:val="4"/>
  </w:num>
  <w:num w:numId="4" w16cid:durableId="584152297">
    <w:abstractNumId w:val="1"/>
  </w:num>
  <w:num w:numId="5" w16cid:durableId="187917736">
    <w:abstractNumId w:val="6"/>
  </w:num>
  <w:num w:numId="6" w16cid:durableId="1039626715">
    <w:abstractNumId w:val="5"/>
  </w:num>
  <w:num w:numId="7" w16cid:durableId="195258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65B"/>
    <w:rsid w:val="000258A2"/>
    <w:rsid w:val="00031B2B"/>
    <w:rsid w:val="00033A70"/>
    <w:rsid w:val="0003441C"/>
    <w:rsid w:val="000402DB"/>
    <w:rsid w:val="0006482D"/>
    <w:rsid w:val="00073ECC"/>
    <w:rsid w:val="00076A1D"/>
    <w:rsid w:val="000773EB"/>
    <w:rsid w:val="00082976"/>
    <w:rsid w:val="00085739"/>
    <w:rsid w:val="000A10FA"/>
    <w:rsid w:val="000C21CE"/>
    <w:rsid w:val="000D1875"/>
    <w:rsid w:val="000E1F44"/>
    <w:rsid w:val="000F22AA"/>
    <w:rsid w:val="000F4515"/>
    <w:rsid w:val="0010176C"/>
    <w:rsid w:val="00107C26"/>
    <w:rsid w:val="00117349"/>
    <w:rsid w:val="00124B53"/>
    <w:rsid w:val="00125656"/>
    <w:rsid w:val="00125AF4"/>
    <w:rsid w:val="00126C8B"/>
    <w:rsid w:val="0013367C"/>
    <w:rsid w:val="00133B17"/>
    <w:rsid w:val="00146978"/>
    <w:rsid w:val="0015078A"/>
    <w:rsid w:val="00152F39"/>
    <w:rsid w:val="0016226A"/>
    <w:rsid w:val="00172D6E"/>
    <w:rsid w:val="00181E5E"/>
    <w:rsid w:val="00182224"/>
    <w:rsid w:val="00184F89"/>
    <w:rsid w:val="00186467"/>
    <w:rsid w:val="00190B66"/>
    <w:rsid w:val="0019115F"/>
    <w:rsid w:val="001952BC"/>
    <w:rsid w:val="001C2568"/>
    <w:rsid w:val="001D4EA6"/>
    <w:rsid w:val="001F1863"/>
    <w:rsid w:val="00203CFC"/>
    <w:rsid w:val="00207BCB"/>
    <w:rsid w:val="00226341"/>
    <w:rsid w:val="002325F6"/>
    <w:rsid w:val="00234B9B"/>
    <w:rsid w:val="00246055"/>
    <w:rsid w:val="00251454"/>
    <w:rsid w:val="00256315"/>
    <w:rsid w:val="00281984"/>
    <w:rsid w:val="002940ED"/>
    <w:rsid w:val="002C5293"/>
    <w:rsid w:val="002D1BEE"/>
    <w:rsid w:val="002E1F99"/>
    <w:rsid w:val="002F084E"/>
    <w:rsid w:val="002F3897"/>
    <w:rsid w:val="002F4A2B"/>
    <w:rsid w:val="002F7E49"/>
    <w:rsid w:val="00311D8C"/>
    <w:rsid w:val="003171FC"/>
    <w:rsid w:val="00323FE1"/>
    <w:rsid w:val="00324AA6"/>
    <w:rsid w:val="00333FD4"/>
    <w:rsid w:val="003421EA"/>
    <w:rsid w:val="003459E5"/>
    <w:rsid w:val="003658F9"/>
    <w:rsid w:val="00372033"/>
    <w:rsid w:val="00376143"/>
    <w:rsid w:val="003822CB"/>
    <w:rsid w:val="003859D7"/>
    <w:rsid w:val="00394FD0"/>
    <w:rsid w:val="00396221"/>
    <w:rsid w:val="003A0C6A"/>
    <w:rsid w:val="003A7F59"/>
    <w:rsid w:val="003B2523"/>
    <w:rsid w:val="003D484F"/>
    <w:rsid w:val="003E44C9"/>
    <w:rsid w:val="003E54A7"/>
    <w:rsid w:val="003F1305"/>
    <w:rsid w:val="003F4491"/>
    <w:rsid w:val="004003BA"/>
    <w:rsid w:val="00412AB7"/>
    <w:rsid w:val="00433D3F"/>
    <w:rsid w:val="00434B34"/>
    <w:rsid w:val="00435B30"/>
    <w:rsid w:val="00445CDE"/>
    <w:rsid w:val="00454723"/>
    <w:rsid w:val="00460718"/>
    <w:rsid w:val="00474315"/>
    <w:rsid w:val="00474B6E"/>
    <w:rsid w:val="004810B4"/>
    <w:rsid w:val="004A70D1"/>
    <w:rsid w:val="004B0CB9"/>
    <w:rsid w:val="004B1E88"/>
    <w:rsid w:val="004B2369"/>
    <w:rsid w:val="004B3700"/>
    <w:rsid w:val="004B7BDB"/>
    <w:rsid w:val="00501C69"/>
    <w:rsid w:val="00503DCA"/>
    <w:rsid w:val="005042A1"/>
    <w:rsid w:val="005209D1"/>
    <w:rsid w:val="00520A16"/>
    <w:rsid w:val="005231DA"/>
    <w:rsid w:val="00541B8D"/>
    <w:rsid w:val="00542B92"/>
    <w:rsid w:val="00551276"/>
    <w:rsid w:val="00553547"/>
    <w:rsid w:val="00570AD7"/>
    <w:rsid w:val="00593FFF"/>
    <w:rsid w:val="005A1F49"/>
    <w:rsid w:val="005A29DF"/>
    <w:rsid w:val="005B17A1"/>
    <w:rsid w:val="005B1C72"/>
    <w:rsid w:val="005B2122"/>
    <w:rsid w:val="005C31CD"/>
    <w:rsid w:val="005C588B"/>
    <w:rsid w:val="005D1F24"/>
    <w:rsid w:val="005D5D46"/>
    <w:rsid w:val="005F4FED"/>
    <w:rsid w:val="006007FD"/>
    <w:rsid w:val="006046BD"/>
    <w:rsid w:val="0060733D"/>
    <w:rsid w:val="00641E12"/>
    <w:rsid w:val="00646C0F"/>
    <w:rsid w:val="00661D3C"/>
    <w:rsid w:val="00673C21"/>
    <w:rsid w:val="00673CA7"/>
    <w:rsid w:val="006751FD"/>
    <w:rsid w:val="00686E66"/>
    <w:rsid w:val="00697D48"/>
    <w:rsid w:val="006A29E6"/>
    <w:rsid w:val="006A382A"/>
    <w:rsid w:val="006B0BF5"/>
    <w:rsid w:val="006B72D3"/>
    <w:rsid w:val="006D42C2"/>
    <w:rsid w:val="006E20B7"/>
    <w:rsid w:val="006F35F0"/>
    <w:rsid w:val="006F45F9"/>
    <w:rsid w:val="006F516F"/>
    <w:rsid w:val="00722D7C"/>
    <w:rsid w:val="0073170A"/>
    <w:rsid w:val="00732616"/>
    <w:rsid w:val="00734333"/>
    <w:rsid w:val="00736AD4"/>
    <w:rsid w:val="00744E20"/>
    <w:rsid w:val="007457FF"/>
    <w:rsid w:val="00771DAD"/>
    <w:rsid w:val="007860A8"/>
    <w:rsid w:val="00786B0B"/>
    <w:rsid w:val="007E13A9"/>
    <w:rsid w:val="007E57D4"/>
    <w:rsid w:val="008030DA"/>
    <w:rsid w:val="008278DE"/>
    <w:rsid w:val="00832B07"/>
    <w:rsid w:val="0084274A"/>
    <w:rsid w:val="008554EA"/>
    <w:rsid w:val="00857A58"/>
    <w:rsid w:val="008645A2"/>
    <w:rsid w:val="0087219E"/>
    <w:rsid w:val="008758B4"/>
    <w:rsid w:val="00876D0D"/>
    <w:rsid w:val="008770DC"/>
    <w:rsid w:val="00886BBC"/>
    <w:rsid w:val="00886E2F"/>
    <w:rsid w:val="00892223"/>
    <w:rsid w:val="008962CF"/>
    <w:rsid w:val="00896E6B"/>
    <w:rsid w:val="008A4BEF"/>
    <w:rsid w:val="008A7972"/>
    <w:rsid w:val="008B0D02"/>
    <w:rsid w:val="008B3226"/>
    <w:rsid w:val="008B7173"/>
    <w:rsid w:val="008C1B70"/>
    <w:rsid w:val="008C2222"/>
    <w:rsid w:val="008C4BDA"/>
    <w:rsid w:val="008C7ADA"/>
    <w:rsid w:val="008E7416"/>
    <w:rsid w:val="008E7D19"/>
    <w:rsid w:val="008F41AE"/>
    <w:rsid w:val="008F651B"/>
    <w:rsid w:val="00905FE7"/>
    <w:rsid w:val="009113AC"/>
    <w:rsid w:val="009302F2"/>
    <w:rsid w:val="00930BCB"/>
    <w:rsid w:val="00931D64"/>
    <w:rsid w:val="0093337F"/>
    <w:rsid w:val="0096266A"/>
    <w:rsid w:val="0098095A"/>
    <w:rsid w:val="00986CD4"/>
    <w:rsid w:val="00992B19"/>
    <w:rsid w:val="009A6D33"/>
    <w:rsid w:val="009B51F2"/>
    <w:rsid w:val="009B5344"/>
    <w:rsid w:val="009C3A3F"/>
    <w:rsid w:val="009C4B4C"/>
    <w:rsid w:val="009C68F2"/>
    <w:rsid w:val="009E4DF0"/>
    <w:rsid w:val="009E7354"/>
    <w:rsid w:val="00A01271"/>
    <w:rsid w:val="00A06420"/>
    <w:rsid w:val="00A07892"/>
    <w:rsid w:val="00A1347F"/>
    <w:rsid w:val="00A151E4"/>
    <w:rsid w:val="00A20020"/>
    <w:rsid w:val="00A20CED"/>
    <w:rsid w:val="00A31AA9"/>
    <w:rsid w:val="00A50EB5"/>
    <w:rsid w:val="00A61BEB"/>
    <w:rsid w:val="00A61F57"/>
    <w:rsid w:val="00A82D1E"/>
    <w:rsid w:val="00A830E5"/>
    <w:rsid w:val="00A85052"/>
    <w:rsid w:val="00A93FA4"/>
    <w:rsid w:val="00AA1F55"/>
    <w:rsid w:val="00AA3BDF"/>
    <w:rsid w:val="00AA560D"/>
    <w:rsid w:val="00AD73BE"/>
    <w:rsid w:val="00AD7C4E"/>
    <w:rsid w:val="00AE072A"/>
    <w:rsid w:val="00AE1124"/>
    <w:rsid w:val="00AE1965"/>
    <w:rsid w:val="00AE2064"/>
    <w:rsid w:val="00AE3E19"/>
    <w:rsid w:val="00AE4BED"/>
    <w:rsid w:val="00AE61D9"/>
    <w:rsid w:val="00B019CF"/>
    <w:rsid w:val="00B03EED"/>
    <w:rsid w:val="00B137E9"/>
    <w:rsid w:val="00B14102"/>
    <w:rsid w:val="00B15DEE"/>
    <w:rsid w:val="00B3497C"/>
    <w:rsid w:val="00B35EC1"/>
    <w:rsid w:val="00B40E17"/>
    <w:rsid w:val="00B418C7"/>
    <w:rsid w:val="00B42A07"/>
    <w:rsid w:val="00B54455"/>
    <w:rsid w:val="00B54A3C"/>
    <w:rsid w:val="00B57A83"/>
    <w:rsid w:val="00B668F0"/>
    <w:rsid w:val="00B728BD"/>
    <w:rsid w:val="00B81EF2"/>
    <w:rsid w:val="00B82C13"/>
    <w:rsid w:val="00B8562E"/>
    <w:rsid w:val="00B92B25"/>
    <w:rsid w:val="00B951B0"/>
    <w:rsid w:val="00BA627E"/>
    <w:rsid w:val="00BA6675"/>
    <w:rsid w:val="00BA7260"/>
    <w:rsid w:val="00BA7D22"/>
    <w:rsid w:val="00BB4226"/>
    <w:rsid w:val="00BF582B"/>
    <w:rsid w:val="00C0081B"/>
    <w:rsid w:val="00C02331"/>
    <w:rsid w:val="00C04267"/>
    <w:rsid w:val="00C1232F"/>
    <w:rsid w:val="00C13615"/>
    <w:rsid w:val="00C1630A"/>
    <w:rsid w:val="00C164DA"/>
    <w:rsid w:val="00C23A05"/>
    <w:rsid w:val="00C31AC9"/>
    <w:rsid w:val="00C42389"/>
    <w:rsid w:val="00C42BD3"/>
    <w:rsid w:val="00C43EC0"/>
    <w:rsid w:val="00C45B13"/>
    <w:rsid w:val="00C531AF"/>
    <w:rsid w:val="00C61D7C"/>
    <w:rsid w:val="00C7179E"/>
    <w:rsid w:val="00C76C50"/>
    <w:rsid w:val="00C800F0"/>
    <w:rsid w:val="00C83B11"/>
    <w:rsid w:val="00C95C12"/>
    <w:rsid w:val="00CA4C16"/>
    <w:rsid w:val="00CA4E8C"/>
    <w:rsid w:val="00CA530A"/>
    <w:rsid w:val="00CC0BB5"/>
    <w:rsid w:val="00CE2BB0"/>
    <w:rsid w:val="00CE349F"/>
    <w:rsid w:val="00D110FF"/>
    <w:rsid w:val="00D20B5E"/>
    <w:rsid w:val="00D32D0D"/>
    <w:rsid w:val="00D41818"/>
    <w:rsid w:val="00D513AA"/>
    <w:rsid w:val="00D52EF0"/>
    <w:rsid w:val="00D75F4B"/>
    <w:rsid w:val="00D82C9A"/>
    <w:rsid w:val="00D90752"/>
    <w:rsid w:val="00DA0452"/>
    <w:rsid w:val="00DC38E8"/>
    <w:rsid w:val="00DD58E1"/>
    <w:rsid w:val="00DE293E"/>
    <w:rsid w:val="00DF4642"/>
    <w:rsid w:val="00E01F65"/>
    <w:rsid w:val="00E0742E"/>
    <w:rsid w:val="00E12D82"/>
    <w:rsid w:val="00E15F15"/>
    <w:rsid w:val="00E24C0D"/>
    <w:rsid w:val="00E26FF3"/>
    <w:rsid w:val="00E3136B"/>
    <w:rsid w:val="00E4352B"/>
    <w:rsid w:val="00E46E1F"/>
    <w:rsid w:val="00E565A0"/>
    <w:rsid w:val="00E664C4"/>
    <w:rsid w:val="00E72134"/>
    <w:rsid w:val="00E72754"/>
    <w:rsid w:val="00EA6026"/>
    <w:rsid w:val="00EB4A11"/>
    <w:rsid w:val="00EB592F"/>
    <w:rsid w:val="00EC72CD"/>
    <w:rsid w:val="00ED18C9"/>
    <w:rsid w:val="00EF021E"/>
    <w:rsid w:val="00EF14AD"/>
    <w:rsid w:val="00F10CBA"/>
    <w:rsid w:val="00F20019"/>
    <w:rsid w:val="00F272AA"/>
    <w:rsid w:val="00F27C80"/>
    <w:rsid w:val="00F320CA"/>
    <w:rsid w:val="00F40651"/>
    <w:rsid w:val="00F4093E"/>
    <w:rsid w:val="00F41A98"/>
    <w:rsid w:val="00F4316F"/>
    <w:rsid w:val="00F471EA"/>
    <w:rsid w:val="00F52BE8"/>
    <w:rsid w:val="00F6384B"/>
    <w:rsid w:val="00F67640"/>
    <w:rsid w:val="00F75C89"/>
    <w:rsid w:val="00F7723D"/>
    <w:rsid w:val="00FB0BBB"/>
    <w:rsid w:val="00FB6B02"/>
    <w:rsid w:val="00FC1CD3"/>
    <w:rsid w:val="00FC330F"/>
    <w:rsid w:val="00FC58BB"/>
    <w:rsid w:val="00FC763D"/>
    <w:rsid w:val="00FD0852"/>
    <w:rsid w:val="00FD2657"/>
    <w:rsid w:val="00FE3CA2"/>
    <w:rsid w:val="00FF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E69196"/>
  <w15:docId w15:val="{D2BCA17F-1BA3-431E-801F-B7229F77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49997123">
      <w:bodyDiv w:val="1"/>
      <w:marLeft w:val="0"/>
      <w:marRight w:val="0"/>
      <w:marTop w:val="0"/>
      <w:marBottom w:val="0"/>
      <w:divBdr>
        <w:top w:val="none" w:sz="0" w:space="0" w:color="auto"/>
        <w:left w:val="none" w:sz="0" w:space="0" w:color="auto"/>
        <w:bottom w:val="none" w:sz="0" w:space="0" w:color="auto"/>
        <w:right w:val="none" w:sz="0" w:space="0" w:color="auto"/>
      </w:divBdr>
    </w:div>
    <w:div w:id="727992848">
      <w:bodyDiv w:val="1"/>
      <w:marLeft w:val="0"/>
      <w:marRight w:val="0"/>
      <w:marTop w:val="0"/>
      <w:marBottom w:val="0"/>
      <w:divBdr>
        <w:top w:val="none" w:sz="0" w:space="0" w:color="auto"/>
        <w:left w:val="none" w:sz="0" w:space="0" w:color="auto"/>
        <w:bottom w:val="none" w:sz="0" w:space="0" w:color="auto"/>
        <w:right w:val="none" w:sz="0" w:space="0" w:color="auto"/>
      </w:divBdr>
    </w:div>
    <w:div w:id="76284713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126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7588</Words>
  <Characters>4326</Characters>
  <Application>Microsoft Office Word</Application>
  <DocSecurity>4</DocSecurity>
  <Lines>36</Lines>
  <Paragraphs>23</Paragraphs>
  <ScaleCrop>false</ScaleCrop>
  <Company>Sveikatos apsaugos ministerija</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2024-09-24T13:02:00Z</cp:lastPrinted>
  <dcterms:created xsi:type="dcterms:W3CDTF">2024-09-27T07:03:00Z</dcterms:created>
  <dcterms:modified xsi:type="dcterms:W3CDTF">2024-09-27T07:03:00Z</dcterms:modified>
</cp:coreProperties>
</file>