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F17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09FF0023" w14:textId="77777777" w:rsidR="00FC1CD3" w:rsidRDefault="00FC1CD3">
      <w:pPr>
        <w:jc w:val="center"/>
        <w:rPr>
          <w:b/>
          <w:bCs/>
          <w:lang w:val="en-US"/>
        </w:rPr>
      </w:pPr>
    </w:p>
    <w:p w14:paraId="16B4FCD5" w14:textId="77777777" w:rsidR="00F320CA" w:rsidRDefault="00F320CA">
      <w:pPr>
        <w:jc w:val="center"/>
        <w:rPr>
          <w:b/>
          <w:bCs/>
          <w:lang w:val="en-US"/>
        </w:rPr>
      </w:pPr>
    </w:p>
    <w:p w14:paraId="3854411C" w14:textId="77777777" w:rsidR="00F320CA" w:rsidRDefault="00F320CA">
      <w:pPr>
        <w:jc w:val="center"/>
        <w:rPr>
          <w:b/>
          <w:bCs/>
          <w:lang w:val="en-US"/>
        </w:rPr>
      </w:pPr>
    </w:p>
    <w:p w14:paraId="13529ED3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3A3BB59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BC3451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57361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1B7159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D3E14F8" w14:textId="540EC0AD" w:rsidR="00FC1CD3" w:rsidRPr="00AE61D9" w:rsidRDefault="00B2425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B24251">
              <w:rPr>
                <w:b/>
              </w:rPr>
              <w:t>DĖL JURBARKO RAJONO SAVIVALDYBĖS TARYBOS KONTROLĖS KOMITETO 202</w:t>
            </w:r>
            <w:r w:rsidR="00857A06">
              <w:rPr>
                <w:b/>
              </w:rPr>
              <w:t>6</w:t>
            </w:r>
            <w:r w:rsidRPr="00B24251">
              <w:rPr>
                <w:b/>
              </w:rPr>
              <w:t xml:space="preserve"> METŲ VEIKLOS PROGRAMOS PATVIRTINIMO</w:t>
            </w:r>
            <w:r w:rsidR="00971168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71168" w:rsidRPr="00AE61D9">
              <w:rPr>
                <w:b/>
              </w:rPr>
            </w:r>
            <w:r w:rsidR="00971168" w:rsidRPr="00AE61D9">
              <w:rPr>
                <w:b/>
              </w:rPr>
              <w:fldChar w:fldCharType="separate"/>
            </w:r>
            <w:r w:rsidR="00971168" w:rsidRPr="00AE61D9">
              <w:rPr>
                <w:b/>
              </w:rPr>
              <w:fldChar w:fldCharType="end"/>
            </w:r>
          </w:p>
        </w:tc>
      </w:tr>
      <w:tr w:rsidR="00FC1CD3" w14:paraId="7C5283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C3C46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C11D9D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7033212" w14:textId="548D4AE0" w:rsidR="00B24251" w:rsidRPr="00B24251" w:rsidRDefault="00B24251" w:rsidP="00B24251">
            <w:pPr>
              <w:jc w:val="center"/>
            </w:pPr>
            <w:r w:rsidRPr="00B24251">
              <w:t>202</w:t>
            </w:r>
            <w:r>
              <w:t>5</w:t>
            </w:r>
            <w:r w:rsidRPr="00B24251">
              <w:t xml:space="preserve"> m. </w:t>
            </w:r>
            <w:r>
              <w:t>gruo</w:t>
            </w:r>
            <w:r w:rsidR="00857A06">
              <w:t xml:space="preserve">džio </w:t>
            </w:r>
            <w:r w:rsidR="00DD7A0B">
              <w:t xml:space="preserve">3 </w:t>
            </w:r>
            <w:r w:rsidRPr="00B24251">
              <w:t>d.  Nr. TSP-</w:t>
            </w:r>
            <w:r w:rsidR="00DD7A0B">
              <w:t>452</w:t>
            </w:r>
          </w:p>
          <w:p w14:paraId="049ED303" w14:textId="10A4B6AE" w:rsidR="00FC1CD3" w:rsidRPr="00AE61D9" w:rsidRDefault="00FC1CD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DDDD6C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DF7024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285E8AF" w14:textId="77777777" w:rsidR="00FC1CD3" w:rsidRPr="00892223" w:rsidRDefault="00FC1CD3"/>
    <w:p w14:paraId="463C7198" w14:textId="77777777" w:rsidR="00FC1CD3" w:rsidRDefault="00FC1CD3">
      <w:pPr>
        <w:jc w:val="both"/>
      </w:pPr>
    </w:p>
    <w:p w14:paraId="17DE9CE7" w14:textId="77777777" w:rsidR="006E7DF3" w:rsidRDefault="006E7DF3" w:rsidP="006E7DF3">
      <w:pPr>
        <w:jc w:val="both"/>
      </w:pPr>
    </w:p>
    <w:p w14:paraId="523604BC" w14:textId="77777777" w:rsidR="006E7DF3" w:rsidRDefault="006E7DF3" w:rsidP="006E7DF3">
      <w:pPr>
        <w:ind w:firstLine="720"/>
        <w:jc w:val="both"/>
        <w:rPr>
          <w:szCs w:val="24"/>
        </w:rPr>
      </w:pPr>
      <w:r w:rsidRPr="006F7FEC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6F7FEC">
        <w:rPr>
          <w:szCs w:val="24"/>
        </w:rPr>
        <w:t xml:space="preserve"> straipsnio </w:t>
      </w:r>
      <w:r>
        <w:rPr>
          <w:szCs w:val="24"/>
        </w:rPr>
        <w:t>2</w:t>
      </w:r>
      <w:r w:rsidRPr="006F7FEC">
        <w:rPr>
          <w:szCs w:val="24"/>
        </w:rPr>
        <w:t xml:space="preserve"> dalies </w:t>
      </w:r>
      <w:r>
        <w:rPr>
          <w:szCs w:val="24"/>
        </w:rPr>
        <w:t>6</w:t>
      </w:r>
      <w:r w:rsidRPr="006F7FEC">
        <w:rPr>
          <w:szCs w:val="24"/>
        </w:rPr>
        <w:t xml:space="preserve"> punktu, </w:t>
      </w:r>
      <w:r>
        <w:rPr>
          <w:szCs w:val="24"/>
        </w:rPr>
        <w:t>20</w:t>
      </w:r>
      <w:r w:rsidRPr="006F7FEC">
        <w:rPr>
          <w:szCs w:val="24"/>
        </w:rPr>
        <w:t xml:space="preserve"> straipsnio </w:t>
      </w:r>
      <w:r>
        <w:rPr>
          <w:szCs w:val="24"/>
        </w:rPr>
        <w:t>3</w:t>
      </w:r>
      <w:r w:rsidRPr="006F7FEC">
        <w:rPr>
          <w:szCs w:val="24"/>
        </w:rPr>
        <w:t xml:space="preserve"> dali</w:t>
      </w:r>
      <w:r>
        <w:rPr>
          <w:szCs w:val="24"/>
        </w:rPr>
        <w:t>mi</w:t>
      </w:r>
      <w:r w:rsidRPr="006F7FEC">
        <w:rPr>
          <w:szCs w:val="24"/>
        </w:rPr>
        <w:t>, Jurbarko rajono savivaldybės tarybos veiklos reglamento, patvirtinto Jurbarko rajono savivaldybės tarybos 20</w:t>
      </w:r>
      <w:r>
        <w:rPr>
          <w:szCs w:val="24"/>
        </w:rPr>
        <w:t>23</w:t>
      </w:r>
      <w:r w:rsidRPr="006F7FEC">
        <w:rPr>
          <w:szCs w:val="24"/>
        </w:rPr>
        <w:t xml:space="preserve"> m. </w:t>
      </w:r>
      <w:r>
        <w:rPr>
          <w:szCs w:val="24"/>
        </w:rPr>
        <w:t>kovo 30</w:t>
      </w:r>
      <w:r w:rsidRPr="006F7FEC">
        <w:rPr>
          <w:szCs w:val="24"/>
        </w:rPr>
        <w:t xml:space="preserve"> d. sprendimu Nr. T2-</w:t>
      </w:r>
      <w:r>
        <w:rPr>
          <w:szCs w:val="24"/>
        </w:rPr>
        <w:t>96</w:t>
      </w:r>
      <w:r w:rsidRPr="006F7FEC">
        <w:rPr>
          <w:szCs w:val="24"/>
        </w:rPr>
        <w:t xml:space="preserve"> „Dėl Jurbarko rajono savivaldybės tarybos veiklos reglamento patvirtinimo“, </w:t>
      </w:r>
      <w:r>
        <w:rPr>
          <w:szCs w:val="24"/>
        </w:rPr>
        <w:t>99 punktu</w:t>
      </w:r>
      <w:r w:rsidRPr="006F7FEC">
        <w:rPr>
          <w:szCs w:val="24"/>
        </w:rPr>
        <w:t>, Jurbarko rajono savivaldybės taryba  n u s p r e n d ž i a:</w:t>
      </w:r>
    </w:p>
    <w:p w14:paraId="7D6090B0" w14:textId="686F1BCF" w:rsidR="006E7DF3" w:rsidRDefault="006E7DF3" w:rsidP="006E7DF3">
      <w:pPr>
        <w:ind w:firstLine="720"/>
        <w:jc w:val="both"/>
        <w:rPr>
          <w:szCs w:val="24"/>
        </w:rPr>
      </w:pPr>
      <w:r w:rsidRPr="006F7FEC">
        <w:rPr>
          <w:szCs w:val="24"/>
        </w:rPr>
        <w:t>Patvirtinti Jurbarko rajono savivaldybės tarybos Kontrolės komiteto 202</w:t>
      </w:r>
      <w:r w:rsidR="00F65913">
        <w:rPr>
          <w:szCs w:val="24"/>
        </w:rPr>
        <w:t>6</w:t>
      </w:r>
      <w:r w:rsidRPr="006F7FEC">
        <w:rPr>
          <w:szCs w:val="24"/>
        </w:rPr>
        <w:t xml:space="preserve"> metų veiklos programą (pridedama).</w:t>
      </w:r>
    </w:p>
    <w:p w14:paraId="7C9B9B75" w14:textId="77777777" w:rsidR="006E7DF3" w:rsidRPr="00CA7CB3" w:rsidRDefault="006E7DF3" w:rsidP="006E7DF3">
      <w:pPr>
        <w:spacing w:after="160" w:line="259" w:lineRule="auto"/>
        <w:ind w:firstLine="720"/>
        <w:jc w:val="both"/>
        <w:rPr>
          <w:szCs w:val="24"/>
        </w:rPr>
      </w:pPr>
      <w:bookmarkStart w:id="0" w:name="_Hlk94781655"/>
      <w:r w:rsidRPr="00E10E49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E10E49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</w:t>
      </w:r>
      <w:bookmarkEnd w:id="0"/>
      <w:r>
        <w:rPr>
          <w:rFonts w:eastAsia="Calibri"/>
          <w:color w:val="000000"/>
          <w:szCs w:val="22"/>
          <w:lang w:eastAsia="en-US"/>
        </w:rPr>
        <w:t>.</w:t>
      </w:r>
    </w:p>
    <w:p w14:paraId="78A7CA84" w14:textId="77777777" w:rsidR="00FC1CD3" w:rsidRDefault="00FC1CD3">
      <w:pPr>
        <w:jc w:val="both"/>
      </w:pPr>
    </w:p>
    <w:p w14:paraId="58112343" w14:textId="77777777" w:rsidR="00FC1CD3" w:rsidRDefault="00FC1CD3">
      <w:pPr>
        <w:jc w:val="both"/>
      </w:pPr>
    </w:p>
    <w:p w14:paraId="24829E2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8CCBB9C" w14:textId="77777777">
        <w:trPr>
          <w:trHeight w:val="180"/>
        </w:trPr>
        <w:tc>
          <w:tcPr>
            <w:tcW w:w="4410" w:type="dxa"/>
          </w:tcPr>
          <w:p w14:paraId="41FB003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5543E59E" w14:textId="77777777" w:rsidR="00FC1CD3" w:rsidRDefault="00FC1CD3">
            <w:pPr>
              <w:jc w:val="right"/>
            </w:pPr>
          </w:p>
        </w:tc>
      </w:tr>
    </w:tbl>
    <w:p w14:paraId="51462803" w14:textId="77777777" w:rsidR="00FC1CD3" w:rsidRDefault="00FC1CD3"/>
    <w:p w14:paraId="5CCD95EA" w14:textId="77777777" w:rsidR="00F320CA" w:rsidRDefault="00F320CA"/>
    <w:p w14:paraId="55FD1F1A" w14:textId="487BAA5F" w:rsidR="00F320CA" w:rsidRDefault="00A53CC7">
      <w:r>
        <w:t>Derino</w:t>
      </w:r>
      <w:r w:rsidR="00F320CA">
        <w:t xml:space="preserve">: </w:t>
      </w:r>
    </w:p>
    <w:p w14:paraId="6A9F1444" w14:textId="77777777" w:rsidR="007457FF" w:rsidRDefault="007457FF" w:rsidP="007457FF">
      <w:r>
        <w:t>Administracijos direktorė R. Vančienė</w:t>
      </w:r>
    </w:p>
    <w:p w14:paraId="73D95D26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74D782F2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AC77FC5" w14:textId="77777777" w:rsidR="00F320CA" w:rsidRDefault="00190B66" w:rsidP="00190B66">
      <w:r>
        <w:t>Dokumentų ir viešųjų ryšių skyriaus vyr. specialistas A. Gvildys</w:t>
      </w:r>
    </w:p>
    <w:p w14:paraId="4C0D275F" w14:textId="11253BC6" w:rsidR="00560288" w:rsidRDefault="00560288" w:rsidP="00190B66">
      <w:r w:rsidRPr="00560288">
        <w:t>Centralizuot</w:t>
      </w:r>
      <w:r>
        <w:t>o</w:t>
      </w:r>
      <w:r w:rsidRPr="00560288">
        <w:t xml:space="preserve"> vidaus audito skyri</w:t>
      </w:r>
      <w:r>
        <w:t>a</w:t>
      </w:r>
      <w:r w:rsidRPr="00560288">
        <w:t>us</w:t>
      </w:r>
      <w:r w:rsidR="00647DCD">
        <w:t xml:space="preserve"> vedėja R. Vaickienė</w:t>
      </w:r>
    </w:p>
    <w:p w14:paraId="227D53CD" w14:textId="77777777" w:rsidR="00190B66" w:rsidRDefault="00190B66"/>
    <w:p w14:paraId="3D04B1E5" w14:textId="77777777" w:rsidR="00F27C80" w:rsidRDefault="00F27C80"/>
    <w:p w14:paraId="78297089" w14:textId="77777777" w:rsidR="00F320CA" w:rsidRDefault="00F320CA" w:rsidP="00F320CA">
      <w:r>
        <w:t>Parengė</w:t>
      </w:r>
    </w:p>
    <w:p w14:paraId="68CF2982" w14:textId="77777777" w:rsidR="00F320CA" w:rsidRDefault="00F320CA" w:rsidP="00F320CA"/>
    <w:p w14:paraId="6E78563C" w14:textId="77777777" w:rsidR="00F27C80" w:rsidRDefault="006E7DF3" w:rsidP="00F320CA">
      <w:r>
        <w:t>Kontrolės komitetas</w:t>
      </w:r>
    </w:p>
    <w:p w14:paraId="6F5BD8A6" w14:textId="77777777" w:rsidR="00A53CC7" w:rsidRDefault="00A53CC7" w:rsidP="00A53CC7"/>
    <w:p w14:paraId="12ACD7CA" w14:textId="77777777" w:rsidR="002E1F99" w:rsidRPr="00C15988" w:rsidRDefault="002E1F99" w:rsidP="002E1F99">
      <w:pPr>
        <w:pStyle w:val="Pavadinimas"/>
        <w:jc w:val="left"/>
        <w:rPr>
          <w:b w:val="0"/>
          <w:lang w:val="lt-LT"/>
        </w:rPr>
      </w:pPr>
    </w:p>
    <w:p w14:paraId="0BDF2060" w14:textId="77777777" w:rsidR="006E7DF3" w:rsidRPr="00B53B86" w:rsidRDefault="006E7DF3" w:rsidP="00F65913">
      <w:pPr>
        <w:ind w:firstLine="5387"/>
        <w:rPr>
          <w:bCs/>
          <w:szCs w:val="24"/>
        </w:rPr>
      </w:pPr>
      <w:r>
        <w:rPr>
          <w:b/>
        </w:rPr>
        <w:br w:type="page"/>
      </w:r>
      <w:r w:rsidRPr="00B53B86">
        <w:rPr>
          <w:bCs/>
          <w:szCs w:val="24"/>
        </w:rPr>
        <w:lastRenderedPageBreak/>
        <w:t>PATVIRTINTA</w:t>
      </w:r>
    </w:p>
    <w:p w14:paraId="09E9BB00" w14:textId="77777777" w:rsidR="006E7DF3" w:rsidRPr="00B53B86" w:rsidRDefault="006E7DF3" w:rsidP="00F65913">
      <w:pPr>
        <w:ind w:firstLine="5387"/>
        <w:rPr>
          <w:bCs/>
          <w:szCs w:val="24"/>
        </w:rPr>
      </w:pPr>
      <w:r w:rsidRPr="00B53B86">
        <w:rPr>
          <w:bCs/>
          <w:szCs w:val="24"/>
        </w:rPr>
        <w:t xml:space="preserve">Jurbarko rajono savivaldybės tarybos </w:t>
      </w:r>
    </w:p>
    <w:p w14:paraId="66B7A459" w14:textId="1C0A37A5" w:rsidR="006E7DF3" w:rsidRPr="00B15C32" w:rsidRDefault="006E7DF3" w:rsidP="00F65913">
      <w:pPr>
        <w:pStyle w:val="Pavadinimas"/>
        <w:ind w:firstLine="5387"/>
        <w:jc w:val="left"/>
        <w:rPr>
          <w:b w:val="0"/>
          <w:bCs w:val="0"/>
          <w:lang w:val="lt-LT"/>
        </w:rPr>
      </w:pPr>
      <w:r w:rsidRPr="00B15C32">
        <w:rPr>
          <w:b w:val="0"/>
          <w:bCs w:val="0"/>
          <w:lang w:val="lt-LT"/>
        </w:rPr>
        <w:t>202</w:t>
      </w:r>
      <w:r w:rsidR="00F65913">
        <w:rPr>
          <w:b w:val="0"/>
          <w:bCs w:val="0"/>
          <w:lang w:val="lt-LT"/>
        </w:rPr>
        <w:t>5</w:t>
      </w:r>
      <w:r w:rsidRPr="00B15C32">
        <w:rPr>
          <w:b w:val="0"/>
          <w:bCs w:val="0"/>
          <w:lang w:val="lt-LT"/>
        </w:rPr>
        <w:t xml:space="preserve"> m. </w:t>
      </w:r>
      <w:r w:rsidR="00F65913">
        <w:rPr>
          <w:b w:val="0"/>
          <w:bCs w:val="0"/>
          <w:lang w:val="lt-LT"/>
        </w:rPr>
        <w:t>gruodžio</w:t>
      </w:r>
      <w:r w:rsidRPr="00B15C32">
        <w:rPr>
          <w:b w:val="0"/>
          <w:bCs w:val="0"/>
          <w:lang w:val="lt-LT"/>
        </w:rPr>
        <w:t xml:space="preserve">   d. sprendimu Nr.</w:t>
      </w:r>
      <w:r w:rsidR="00F65913">
        <w:rPr>
          <w:b w:val="0"/>
          <w:bCs w:val="0"/>
          <w:lang w:val="lt-LT"/>
        </w:rPr>
        <w:t xml:space="preserve"> T2-</w:t>
      </w:r>
    </w:p>
    <w:p w14:paraId="2E28D0C3" w14:textId="77777777" w:rsidR="006E7DF3" w:rsidRPr="00C15988" w:rsidRDefault="006E7DF3" w:rsidP="006E7DF3">
      <w:pPr>
        <w:rPr>
          <w:b/>
          <w:bCs/>
          <w:szCs w:val="24"/>
          <w:lang w:val="fi-FI"/>
        </w:rPr>
      </w:pPr>
    </w:p>
    <w:p w14:paraId="6EDD87ED" w14:textId="77777777" w:rsidR="006E7DF3" w:rsidRPr="00C15988" w:rsidRDefault="006E7DF3" w:rsidP="006E7DF3">
      <w:pPr>
        <w:jc w:val="center"/>
        <w:rPr>
          <w:b/>
          <w:bCs/>
          <w:szCs w:val="24"/>
          <w:lang w:val="fi-FI"/>
        </w:rPr>
      </w:pPr>
      <w:r w:rsidRPr="00C15988">
        <w:rPr>
          <w:b/>
          <w:bCs/>
          <w:szCs w:val="24"/>
          <w:lang w:val="fi-FI"/>
        </w:rPr>
        <w:t>JURBARKO RAJONO SAVIVALDYBĖS TARYBOS KONTROLĖS KOMITETO</w:t>
      </w:r>
    </w:p>
    <w:p w14:paraId="43B48D0D" w14:textId="49419072" w:rsidR="006E7DF3" w:rsidRPr="00B53B86" w:rsidRDefault="006E7DF3" w:rsidP="006E7DF3">
      <w:pPr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F65913">
        <w:rPr>
          <w:b/>
          <w:szCs w:val="24"/>
        </w:rPr>
        <w:t>6</w:t>
      </w:r>
      <w:r w:rsidRPr="00B53B86">
        <w:rPr>
          <w:b/>
          <w:szCs w:val="24"/>
        </w:rPr>
        <w:t xml:space="preserve"> METŲ VEIKLOS PROGRAMA</w:t>
      </w:r>
    </w:p>
    <w:p w14:paraId="0094129A" w14:textId="77777777" w:rsidR="006E7DF3" w:rsidRPr="00B53B86" w:rsidRDefault="006E7DF3" w:rsidP="006E7DF3">
      <w:pPr>
        <w:jc w:val="center"/>
        <w:rPr>
          <w:b/>
          <w:szCs w:val="24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664"/>
        <w:gridCol w:w="3686"/>
        <w:gridCol w:w="2410"/>
      </w:tblGrid>
      <w:tr w:rsidR="006E7DF3" w:rsidRPr="00B53B86" w14:paraId="31998719" w14:textId="77777777" w:rsidTr="00AD72BB">
        <w:trPr>
          <w:trHeight w:val="4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A607B" w14:textId="77777777" w:rsidR="006E7DF3" w:rsidRPr="00B53B86" w:rsidRDefault="006E7DF3" w:rsidP="00AD72BB">
            <w:pPr>
              <w:snapToGrid w:val="0"/>
              <w:jc w:val="center"/>
              <w:rPr>
                <w:b/>
                <w:szCs w:val="24"/>
              </w:rPr>
            </w:pPr>
            <w:r w:rsidRPr="00B53B86">
              <w:rPr>
                <w:b/>
                <w:szCs w:val="24"/>
              </w:rPr>
              <w:t>Eil.</w:t>
            </w:r>
          </w:p>
          <w:p w14:paraId="7C7433E9" w14:textId="77777777" w:rsidR="006E7DF3" w:rsidRPr="00B53B86" w:rsidRDefault="006E7DF3" w:rsidP="00AD72BB">
            <w:pPr>
              <w:snapToGrid w:val="0"/>
              <w:jc w:val="center"/>
              <w:rPr>
                <w:b/>
                <w:szCs w:val="24"/>
              </w:rPr>
            </w:pPr>
            <w:r w:rsidRPr="00B53B86">
              <w:rPr>
                <w:b/>
                <w:szCs w:val="24"/>
              </w:rPr>
              <w:t>Nr.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6629" w14:textId="77777777" w:rsidR="006E7DF3" w:rsidRPr="00B53B86" w:rsidRDefault="006E7DF3" w:rsidP="00AD72BB">
            <w:pPr>
              <w:snapToGrid w:val="0"/>
              <w:jc w:val="center"/>
              <w:rPr>
                <w:b/>
                <w:szCs w:val="24"/>
              </w:rPr>
            </w:pPr>
            <w:r w:rsidRPr="00B53B86">
              <w:rPr>
                <w:b/>
                <w:szCs w:val="24"/>
              </w:rPr>
              <w:t>Veiklos kryptys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3F7C1" w14:textId="77777777" w:rsidR="006E7DF3" w:rsidRPr="00B53B86" w:rsidRDefault="006E7DF3" w:rsidP="00AD72BB">
            <w:pPr>
              <w:snapToGrid w:val="0"/>
              <w:jc w:val="center"/>
              <w:rPr>
                <w:b/>
                <w:szCs w:val="24"/>
              </w:rPr>
            </w:pPr>
            <w:r w:rsidRPr="00B53B86">
              <w:rPr>
                <w:b/>
                <w:szCs w:val="24"/>
              </w:rPr>
              <w:t>Veikl</w:t>
            </w:r>
            <w:r>
              <w:rPr>
                <w:b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7E2F" w14:textId="77777777" w:rsidR="006E7DF3" w:rsidRPr="00B53B86" w:rsidRDefault="006E7DF3" w:rsidP="00AD72BB">
            <w:pPr>
              <w:snapToGrid w:val="0"/>
              <w:jc w:val="center"/>
              <w:rPr>
                <w:b/>
                <w:szCs w:val="24"/>
              </w:rPr>
            </w:pPr>
            <w:r w:rsidRPr="00B53B86">
              <w:rPr>
                <w:b/>
                <w:szCs w:val="24"/>
              </w:rPr>
              <w:t>Veiklos laikotarpis ir vykdymo terminai</w:t>
            </w:r>
          </w:p>
        </w:tc>
      </w:tr>
      <w:tr w:rsidR="006E7DF3" w:rsidRPr="00B53B86" w14:paraId="083E1A5D" w14:textId="77777777" w:rsidTr="00AD72BB">
        <w:trPr>
          <w:trHeight w:val="804"/>
        </w:trPr>
        <w:tc>
          <w:tcPr>
            <w:tcW w:w="59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9E0A27F" w14:textId="77777777" w:rsidR="006E7DF3" w:rsidRPr="00B53B86" w:rsidRDefault="006E7DF3" w:rsidP="00AD72BB">
            <w:pPr>
              <w:snapToGrid w:val="0"/>
              <w:rPr>
                <w:szCs w:val="24"/>
              </w:rPr>
            </w:pPr>
            <w:r w:rsidRPr="00B53B86">
              <w:rPr>
                <w:szCs w:val="24"/>
              </w:rPr>
              <w:t>1.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9C6C8DC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Kontrolės komiteto veiklos planavimas, veikla ir ataskaitos</w:t>
            </w:r>
            <w:r>
              <w:rPr>
                <w:bCs/>
                <w:szCs w:val="24"/>
              </w:rPr>
              <w:t xml:space="preserve"> parengimas</w:t>
            </w:r>
            <w:r w:rsidRPr="00B53B86">
              <w:rPr>
                <w:bCs/>
                <w:szCs w:val="24"/>
              </w:rPr>
              <w:t xml:space="preserve"> (vadovaujantis Kontrolės komiteto nuostatais)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14A140" w14:textId="444B5A7D" w:rsidR="006E7DF3" w:rsidRPr="00B53B86" w:rsidRDefault="006E7DF3" w:rsidP="00AD72BB">
            <w:pPr>
              <w:tabs>
                <w:tab w:val="left" w:pos="272"/>
              </w:tabs>
              <w:snapToGri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 Kontrolės komiteto 202</w:t>
            </w:r>
            <w:r w:rsidR="00F65913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metų veiklos programos pakeitimų parengimas ir pateikimas Savivaldybės tarybai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ADB5B" w14:textId="77777777" w:rsidR="006E7DF3" w:rsidRPr="00B53B86" w:rsidRDefault="006E7DF3" w:rsidP="00AD72BB">
            <w:pPr>
              <w:snapToGrid w:val="0"/>
              <w:jc w:val="center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Esant reikalui</w:t>
            </w:r>
          </w:p>
        </w:tc>
      </w:tr>
      <w:tr w:rsidR="006E7DF3" w:rsidRPr="00B53B86" w14:paraId="20F651E1" w14:textId="77777777" w:rsidTr="00AD72BB">
        <w:trPr>
          <w:trHeight w:val="80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14:paraId="51860F44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nil"/>
            </w:tcBorders>
          </w:tcPr>
          <w:p w14:paraId="1F04875C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C99E3B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2. Iš asmenų gaunamų pranešimų ir pareiškimų apie Savivaldybės administracijos, įmonių, įstaigų ir jų vadovų veiklą nagrinėjimas bei siūlymų teikimas Savivaldybės administracijai ir Savivaldybės tarybai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7EDB0" w14:textId="77777777" w:rsidR="006E7DF3" w:rsidRPr="00B53B86" w:rsidRDefault="006E7DF3" w:rsidP="00AD72BB">
            <w:pPr>
              <w:jc w:val="center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Esant reikalui</w:t>
            </w:r>
          </w:p>
        </w:tc>
      </w:tr>
      <w:tr w:rsidR="006E7DF3" w:rsidRPr="00B53B86" w14:paraId="2BA7985C" w14:textId="77777777" w:rsidTr="00AD72BB">
        <w:trPr>
          <w:trHeight w:val="1971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14:paraId="24AFEF85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nil"/>
            </w:tcBorders>
          </w:tcPr>
          <w:p w14:paraId="0C847F6F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198F0E" w14:textId="77777777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3. Pagal savo kompetenciją kreipimasis į Savivaldybės tarybą,</w:t>
            </w:r>
            <w:r>
              <w:rPr>
                <w:bCs/>
                <w:szCs w:val="24"/>
              </w:rPr>
              <w:t xml:space="preserve"> </w:t>
            </w:r>
            <w:r w:rsidRPr="006E7DF3">
              <w:rPr>
                <w:bCs/>
                <w:szCs w:val="24"/>
              </w:rPr>
              <w:t>Savivaldybės merą,</w:t>
            </w:r>
            <w:r w:rsidRPr="00B53B86">
              <w:rPr>
                <w:bCs/>
                <w:szCs w:val="24"/>
              </w:rPr>
              <w:t xml:space="preserve"> Savivaldybės administracijos direktorių dėl </w:t>
            </w:r>
            <w:r>
              <w:rPr>
                <w:bCs/>
                <w:szCs w:val="24"/>
              </w:rPr>
              <w:t>S</w:t>
            </w:r>
            <w:r w:rsidRPr="00B53B86">
              <w:rPr>
                <w:bCs/>
                <w:szCs w:val="24"/>
              </w:rPr>
              <w:t>avivaldybės Kontrolės ir audito tarnybos, Centralizuoto vidaus audito skyriaus reikalavimų įvykdymo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1DBBC" w14:textId="77777777" w:rsidR="006E7DF3" w:rsidRPr="00B53B86" w:rsidRDefault="006E7DF3" w:rsidP="00AD72BB">
            <w:pPr>
              <w:jc w:val="center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Esant reikalui</w:t>
            </w:r>
          </w:p>
        </w:tc>
      </w:tr>
      <w:tr w:rsidR="006E7DF3" w:rsidRPr="00B53B86" w14:paraId="42FDF762" w14:textId="77777777" w:rsidTr="00AD72BB">
        <w:trPr>
          <w:trHeight w:val="980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14:paraId="578CCBD3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nil"/>
            </w:tcBorders>
          </w:tcPr>
          <w:p w14:paraId="4F7445A7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A0F601" w14:textId="4230E579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4. Kontrolės komiteto 202</w:t>
            </w:r>
            <w:r w:rsidR="002F66CD">
              <w:rPr>
                <w:szCs w:val="24"/>
              </w:rPr>
              <w:t>5</w:t>
            </w:r>
            <w:r w:rsidRPr="00B53B86">
              <w:rPr>
                <w:szCs w:val="24"/>
              </w:rPr>
              <w:t xml:space="preserve"> metų veiklos programos ataskaitos parengimas ir jos teikimas Savivaldybės tarybai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A5223" w14:textId="7A0F6C31" w:rsidR="006E7DF3" w:rsidRPr="00B53B86" w:rsidRDefault="006E7DF3" w:rsidP="00AD72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Iki 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kovo 31 d.</w:t>
            </w:r>
          </w:p>
        </w:tc>
      </w:tr>
      <w:tr w:rsidR="006E7DF3" w:rsidRPr="00B53B86" w14:paraId="7E5D6245" w14:textId="77777777" w:rsidTr="006E7DF3">
        <w:trPr>
          <w:trHeight w:val="980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4084F4F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DD741F8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0AB0BD" w14:textId="45136832" w:rsidR="006E7DF3" w:rsidRPr="00B53B86" w:rsidRDefault="006E7DF3" w:rsidP="00AD72BB">
            <w:pPr>
              <w:tabs>
                <w:tab w:val="left" w:pos="0"/>
                <w:tab w:val="left" w:pos="273"/>
              </w:tabs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5. Kontrolės komiteto 202</w:t>
            </w:r>
            <w:r w:rsidR="002F66CD">
              <w:rPr>
                <w:szCs w:val="24"/>
              </w:rPr>
              <w:t>7</w:t>
            </w:r>
            <w:r w:rsidRPr="00B53B86">
              <w:rPr>
                <w:szCs w:val="24"/>
              </w:rPr>
              <w:t xml:space="preserve"> metų veiklos programos svarstymas ir jos teikimas Savivaldybės tarybai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B475C" w14:textId="14E6CCE5" w:rsidR="006E7DF3" w:rsidRPr="00B53B86" w:rsidRDefault="006E7DF3" w:rsidP="00AD72BB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IV ketvirtis</w:t>
            </w:r>
          </w:p>
        </w:tc>
      </w:tr>
      <w:tr w:rsidR="006E7DF3" w:rsidRPr="00B53B86" w14:paraId="10215806" w14:textId="77777777" w:rsidTr="00AD72BB">
        <w:trPr>
          <w:trHeight w:val="131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E6B4" w14:textId="77777777" w:rsidR="006E7DF3" w:rsidRPr="00B53B86" w:rsidRDefault="006E7DF3" w:rsidP="00AD72BB">
            <w:pPr>
              <w:snapToGrid w:val="0"/>
              <w:rPr>
                <w:szCs w:val="24"/>
              </w:rPr>
            </w:pPr>
            <w:r w:rsidRPr="00B53B86">
              <w:rPr>
                <w:szCs w:val="24"/>
              </w:rPr>
              <w:t>2.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26820" w14:textId="77777777" w:rsidR="006E7DF3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 w:rsidRPr="006E7DF3">
              <w:rPr>
                <w:bCs/>
                <w:szCs w:val="24"/>
              </w:rPr>
              <w:t xml:space="preserve">Biudžeto vykdymo, </w:t>
            </w:r>
            <w:r>
              <w:rPr>
                <w:bCs/>
                <w:szCs w:val="24"/>
              </w:rPr>
              <w:t>S</w:t>
            </w:r>
            <w:r w:rsidRPr="006E7DF3">
              <w:rPr>
                <w:bCs/>
                <w:szCs w:val="24"/>
              </w:rPr>
              <w:t>avivaldybės turto ir lėšų naudojimo teisėtumo, tikslingumo ir  efektyvumo svarstymas bei rekomendacijų teikimas</w:t>
            </w:r>
          </w:p>
          <w:p w14:paraId="41B15A35" w14:textId="77777777" w:rsidR="006E7DF3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  <w:p w14:paraId="4BDE8123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0C68" w14:textId="789966CC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1. K</w:t>
            </w:r>
            <w:r>
              <w:rPr>
                <w:bCs/>
                <w:szCs w:val="24"/>
              </w:rPr>
              <w:t>ontrolės ir audito tarnybos 202</w:t>
            </w:r>
            <w:r w:rsidR="002F66CD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 </w:t>
            </w:r>
            <w:r w:rsidRPr="00B53B86">
              <w:rPr>
                <w:bCs/>
                <w:szCs w:val="24"/>
              </w:rPr>
              <w:t xml:space="preserve"> metų veiklos planui vykdyti reikalingų asignavimų įvertinimas ir dėl jų išvados teikimas Savivaldybės tarybai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1D2D0" w14:textId="7B88F81E" w:rsidR="006E7DF3" w:rsidRPr="00B53B86" w:rsidRDefault="006E7DF3" w:rsidP="00AD72BB">
            <w:pPr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 xml:space="preserve"> </w:t>
            </w:r>
            <w:r w:rsidRPr="00B53B86">
              <w:rPr>
                <w:bCs/>
                <w:szCs w:val="24"/>
              </w:rPr>
              <w:t xml:space="preserve">m. sausio mėn. </w:t>
            </w:r>
          </w:p>
        </w:tc>
      </w:tr>
      <w:tr w:rsidR="006E7DF3" w:rsidRPr="00B53B86" w14:paraId="677429C0" w14:textId="77777777" w:rsidTr="00AD72BB">
        <w:trPr>
          <w:trHeight w:val="9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A8537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812B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7ED" w14:textId="2E5BB89B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2. 202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metų </w:t>
            </w:r>
            <w:r>
              <w:rPr>
                <w:bCs/>
                <w:szCs w:val="24"/>
              </w:rPr>
              <w:t>S</w:t>
            </w:r>
            <w:r w:rsidRPr="00B53B86">
              <w:rPr>
                <w:bCs/>
                <w:szCs w:val="24"/>
              </w:rPr>
              <w:t>avivaldybės biudžeto projekto svarstymas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5238" w14:textId="4225FF9E" w:rsidR="006E7DF3" w:rsidRPr="00B53B86" w:rsidRDefault="006E7DF3" w:rsidP="00AD72BB">
            <w:pPr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  <w:r w:rsidR="002F66CD">
              <w:rPr>
                <w:bCs/>
                <w:szCs w:val="24"/>
              </w:rPr>
              <w:t>26</w:t>
            </w:r>
            <w:r w:rsidRPr="00B53B86">
              <w:rPr>
                <w:bCs/>
                <w:szCs w:val="24"/>
              </w:rPr>
              <w:t xml:space="preserve"> m. </w:t>
            </w:r>
            <w:r>
              <w:rPr>
                <w:bCs/>
                <w:szCs w:val="24"/>
              </w:rPr>
              <w:t>sausio</w:t>
            </w:r>
            <w:r w:rsidRPr="00B53B86">
              <w:rPr>
                <w:bCs/>
                <w:szCs w:val="24"/>
              </w:rPr>
              <w:t xml:space="preserve"> mėn.</w:t>
            </w:r>
          </w:p>
        </w:tc>
      </w:tr>
      <w:tr w:rsidR="006E7DF3" w:rsidRPr="00B53B86" w14:paraId="6EDECDC0" w14:textId="77777777" w:rsidTr="006E7DF3">
        <w:trPr>
          <w:trHeight w:val="27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AE1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BAA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166" w14:textId="1EFC34AD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 xml:space="preserve">3. Kontrolės ir audito tarnybos ataskaitos </w:t>
            </w:r>
            <w:r>
              <w:rPr>
                <w:bCs/>
                <w:szCs w:val="24"/>
              </w:rPr>
              <w:t>ir išvados dėl Savivaldybės 202</w:t>
            </w:r>
            <w:r w:rsidR="002F66CD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 w:rsidRPr="00B53B86">
              <w:rPr>
                <w:bCs/>
                <w:szCs w:val="24"/>
              </w:rPr>
              <w:t>m. konsoliduotųjų ataskaitų rinkinių audito ataskaitos rezultatų svarstymas ir rekomendacijų teikimas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B52" w14:textId="05F6D994" w:rsidR="006E7DF3" w:rsidRPr="00B53B86" w:rsidRDefault="006E7DF3" w:rsidP="00AD72BB">
            <w:pPr>
              <w:spacing w:after="200" w:line="276" w:lineRule="auto"/>
              <w:contextualSpacing/>
              <w:rPr>
                <w:rFonts w:eastAsia="Calibri"/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II ketvirtis</w:t>
            </w:r>
          </w:p>
        </w:tc>
      </w:tr>
      <w:tr w:rsidR="006E7DF3" w:rsidRPr="00B53B86" w14:paraId="2604963B" w14:textId="77777777" w:rsidTr="006E7DF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4882D57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  <w:r w:rsidRPr="00B53B86">
              <w:rPr>
                <w:szCs w:val="24"/>
              </w:rPr>
              <w:lastRenderedPageBreak/>
              <w:t>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74066B5" w14:textId="77777777" w:rsidR="006E7DF3" w:rsidRPr="00B53B86" w:rsidRDefault="006E7DF3" w:rsidP="006E7DF3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bCs/>
                <w:szCs w:val="24"/>
              </w:rPr>
            </w:pPr>
            <w:r w:rsidRPr="00B53B86">
              <w:rPr>
                <w:szCs w:val="24"/>
              </w:rPr>
              <w:t>Bendradarbiavimas su Centralizuoto vidaus audito skyriumi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CB0EA38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Centralizuoto vidaus audito skyriaus vedėjo pateiktos informacijos apie  skyriaus atliktus darbus aptarimas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5696" w14:textId="78C59356" w:rsidR="006E7DF3" w:rsidRPr="00B53B86" w:rsidRDefault="006E7DF3" w:rsidP="00AD72BB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IV ketvirtis</w:t>
            </w:r>
          </w:p>
        </w:tc>
      </w:tr>
      <w:tr w:rsidR="006E7DF3" w:rsidRPr="00B53B86" w14:paraId="2A9970D5" w14:textId="77777777" w:rsidTr="00AD72BB">
        <w:trPr>
          <w:trHeight w:val="84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90411D4" w14:textId="77777777" w:rsidR="006E7DF3" w:rsidRPr="00B53B86" w:rsidRDefault="006E7DF3" w:rsidP="00AD72BB">
            <w:pPr>
              <w:snapToGrid w:val="0"/>
              <w:rPr>
                <w:szCs w:val="24"/>
              </w:rPr>
            </w:pPr>
            <w:r w:rsidRPr="00B53B86">
              <w:rPr>
                <w:szCs w:val="24"/>
              </w:rPr>
              <w:t xml:space="preserve">4. 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C2CB4ED" w14:textId="77777777" w:rsidR="006E7DF3" w:rsidRPr="00B53B86" w:rsidRDefault="006E7DF3" w:rsidP="00AD72BB">
            <w:pPr>
              <w:snapToGrid w:val="0"/>
              <w:jc w:val="both"/>
              <w:rPr>
                <w:szCs w:val="24"/>
              </w:rPr>
            </w:pPr>
            <w:r w:rsidRPr="00B53B86">
              <w:rPr>
                <w:bCs/>
                <w:szCs w:val="24"/>
              </w:rPr>
              <w:t>Kontrolės ir audito tarnybos veiklos plano vykdymo svarstymas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A25C9CD" w14:textId="2A90D5B6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  <w:r w:rsidRPr="00B53B86">
              <w:rPr>
                <w:szCs w:val="24"/>
              </w:rPr>
              <w:t xml:space="preserve">1. Savivaldybės </w:t>
            </w:r>
            <w:r w:rsidRPr="00B53B86">
              <w:rPr>
                <w:bCs/>
                <w:szCs w:val="24"/>
              </w:rPr>
              <w:t>kontrolės ir audito</w:t>
            </w:r>
            <w:r w:rsidRPr="00B53B86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tarnybos 202</w:t>
            </w:r>
            <w:r w:rsidR="002F66CD">
              <w:rPr>
                <w:szCs w:val="24"/>
              </w:rPr>
              <w:t>6</w:t>
            </w:r>
            <w:r w:rsidRPr="00B53B86">
              <w:rPr>
                <w:szCs w:val="24"/>
              </w:rPr>
              <w:t xml:space="preserve"> metų veiklos plano vykdymo svarstymas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BB848" w14:textId="7425BE27" w:rsidR="006E7DF3" w:rsidRPr="00B53B86" w:rsidRDefault="006E7DF3" w:rsidP="00AD72BB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kas ketvirtį</w:t>
            </w:r>
          </w:p>
        </w:tc>
      </w:tr>
      <w:tr w:rsidR="006E7DF3" w:rsidRPr="00B53B86" w14:paraId="67501304" w14:textId="77777777" w:rsidTr="00AD72BB">
        <w:trPr>
          <w:trHeight w:val="1130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14:paraId="5B8A6A94" w14:textId="77777777" w:rsidR="006E7DF3" w:rsidRPr="00B53B86" w:rsidRDefault="006E7DF3" w:rsidP="00AD72BB">
            <w:pPr>
              <w:snapToGrid w:val="0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nil"/>
            </w:tcBorders>
          </w:tcPr>
          <w:p w14:paraId="68278961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CE315E" w14:textId="77777777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2. Kontrolės ir audito tarnybos atliktų auditų ataskaitų svarstymas ir rekomendacijų teikimas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48C8E7" w14:textId="0AF1F69C" w:rsidR="006E7DF3" w:rsidRPr="00B53B86" w:rsidRDefault="006E7DF3" w:rsidP="00AD72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I–IV ketvirtis</w:t>
            </w:r>
          </w:p>
        </w:tc>
      </w:tr>
      <w:tr w:rsidR="006E7DF3" w:rsidRPr="00B53B86" w14:paraId="1DCF6584" w14:textId="77777777" w:rsidTr="00AD72BB">
        <w:trPr>
          <w:trHeight w:val="553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14:paraId="05F67D23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nil"/>
            </w:tcBorders>
          </w:tcPr>
          <w:p w14:paraId="5C2B64C8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C627EC" w14:textId="15B29982" w:rsidR="006E7DF3" w:rsidRPr="00B53B86" w:rsidRDefault="006E7DF3" w:rsidP="00AD72BB">
            <w:pPr>
              <w:tabs>
                <w:tab w:val="left" w:pos="278"/>
              </w:tabs>
              <w:snapToGrid w:val="0"/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3. K</w:t>
            </w:r>
            <w:r>
              <w:rPr>
                <w:bCs/>
                <w:szCs w:val="24"/>
              </w:rPr>
              <w:t>ontrolės ir audito tarnybos 202</w:t>
            </w:r>
            <w:r w:rsidR="002F66CD">
              <w:rPr>
                <w:bCs/>
                <w:szCs w:val="24"/>
              </w:rPr>
              <w:t>5</w:t>
            </w:r>
            <w:r w:rsidRPr="00B53B86">
              <w:rPr>
                <w:bCs/>
                <w:szCs w:val="24"/>
              </w:rPr>
              <w:t xml:space="preserve"> metų veiklos plano įvykdymo ataskaitos svarstymas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455A" w14:textId="47BEE35B" w:rsidR="006E7DF3" w:rsidRPr="00B53B86" w:rsidRDefault="006E7DF3" w:rsidP="00AD72BB">
            <w:pPr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2F66CD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 ketvirtis</w:t>
            </w:r>
          </w:p>
        </w:tc>
      </w:tr>
      <w:tr w:rsidR="006E7DF3" w:rsidRPr="00B53B86" w14:paraId="14303075" w14:textId="77777777" w:rsidTr="00AD72BB">
        <w:trPr>
          <w:trHeight w:val="55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87627EF" w14:textId="77777777" w:rsidR="006E7DF3" w:rsidRPr="00B53B86" w:rsidRDefault="006E7DF3" w:rsidP="00AD72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E6D165" w14:textId="77777777" w:rsidR="006E7DF3" w:rsidRPr="00B53B86" w:rsidRDefault="006E7DF3" w:rsidP="00AD72BB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FBD3CD" w14:textId="0C30CF42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  <w:r w:rsidRPr="00B53B86">
              <w:rPr>
                <w:bCs/>
                <w:szCs w:val="24"/>
              </w:rPr>
              <w:t>4. K</w:t>
            </w:r>
            <w:r>
              <w:rPr>
                <w:bCs/>
                <w:szCs w:val="24"/>
              </w:rPr>
              <w:t>ontrolės ir audito tarnybos 202</w:t>
            </w:r>
            <w:r w:rsidR="00F92289">
              <w:rPr>
                <w:bCs/>
                <w:szCs w:val="24"/>
              </w:rPr>
              <w:t>7</w:t>
            </w:r>
            <w:r w:rsidRPr="00B53B86">
              <w:rPr>
                <w:bCs/>
                <w:szCs w:val="24"/>
              </w:rPr>
              <w:t xml:space="preserve"> metų veiklos plano projekto svarstymas,</w:t>
            </w:r>
            <w:r w:rsidRPr="00B53B86">
              <w:rPr>
                <w:szCs w:val="24"/>
              </w:rPr>
              <w:t xml:space="preserve"> pasiūlymų dėl šio plano projekto papildymo ar pakeitimo teikimas</w:t>
            </w:r>
          </w:p>
          <w:p w14:paraId="43F93D95" w14:textId="77777777" w:rsidR="006E7DF3" w:rsidRPr="00B53B86" w:rsidRDefault="006E7DF3" w:rsidP="00AD72BB">
            <w:pPr>
              <w:jc w:val="both"/>
              <w:rPr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5C5D" w14:textId="59E26A4D" w:rsidR="006E7DF3" w:rsidRPr="00B53B86" w:rsidRDefault="006E7DF3" w:rsidP="00AD72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F92289">
              <w:rPr>
                <w:bCs/>
                <w:szCs w:val="24"/>
              </w:rPr>
              <w:t>6</w:t>
            </w:r>
            <w:r w:rsidRPr="00B53B86">
              <w:rPr>
                <w:bCs/>
                <w:szCs w:val="24"/>
              </w:rPr>
              <w:t xml:space="preserve"> m. IV ketvirtis</w:t>
            </w:r>
          </w:p>
        </w:tc>
      </w:tr>
    </w:tbl>
    <w:p w14:paraId="17BFB5B9" w14:textId="77777777" w:rsidR="006E7DF3" w:rsidRPr="00B53B86" w:rsidRDefault="006E7DF3" w:rsidP="006E7DF3">
      <w:pPr>
        <w:rPr>
          <w:b/>
          <w:bCs/>
          <w:szCs w:val="24"/>
        </w:rPr>
      </w:pPr>
    </w:p>
    <w:p w14:paraId="30AB3D0B" w14:textId="77777777" w:rsidR="006E7DF3" w:rsidRPr="00B53B86" w:rsidRDefault="006E7DF3" w:rsidP="006E7DF3">
      <w:pPr>
        <w:jc w:val="center"/>
        <w:rPr>
          <w:b/>
          <w:szCs w:val="24"/>
        </w:rPr>
      </w:pPr>
      <w:r w:rsidRPr="00B53B86">
        <w:rPr>
          <w:b/>
          <w:szCs w:val="24"/>
        </w:rPr>
        <w:t>________________</w:t>
      </w:r>
    </w:p>
    <w:p w14:paraId="3451A9BC" w14:textId="77777777" w:rsidR="006E7DF3" w:rsidRDefault="006E7DF3" w:rsidP="006E7DF3"/>
    <w:p w14:paraId="3BE969DD" w14:textId="77777777" w:rsidR="006E7DF3" w:rsidRDefault="006E7DF3" w:rsidP="006E7DF3"/>
    <w:p w14:paraId="048F1197" w14:textId="77777777" w:rsidR="006E7DF3" w:rsidRDefault="006E7DF3" w:rsidP="006E7DF3"/>
    <w:p w14:paraId="7FA27A36" w14:textId="77777777" w:rsidR="006E7DF3" w:rsidRDefault="006E7DF3" w:rsidP="006E7DF3"/>
    <w:p w14:paraId="173757D7" w14:textId="77777777" w:rsidR="006E7DF3" w:rsidRDefault="006E7DF3" w:rsidP="006E7DF3"/>
    <w:p w14:paraId="41318E13" w14:textId="77777777" w:rsidR="006E7DF3" w:rsidRDefault="006E7DF3" w:rsidP="006E7DF3"/>
    <w:p w14:paraId="252446DF" w14:textId="77777777" w:rsidR="006E7DF3" w:rsidRDefault="006E7DF3" w:rsidP="006E7DF3"/>
    <w:p w14:paraId="7BBF95ED" w14:textId="77777777" w:rsidR="006E7DF3" w:rsidRDefault="006E7DF3" w:rsidP="006E7DF3"/>
    <w:p w14:paraId="7FE798C9" w14:textId="77777777" w:rsidR="006E7DF3" w:rsidRDefault="006E7DF3" w:rsidP="006E7DF3"/>
    <w:p w14:paraId="72DD423D" w14:textId="77777777" w:rsidR="006E7DF3" w:rsidRDefault="006E7DF3" w:rsidP="006E7DF3"/>
    <w:p w14:paraId="2D431BAB" w14:textId="77777777" w:rsidR="006E7DF3" w:rsidRDefault="006E7DF3" w:rsidP="006E7DF3"/>
    <w:p w14:paraId="02892C31" w14:textId="77777777" w:rsidR="006E7DF3" w:rsidRDefault="006E7DF3" w:rsidP="006E7DF3"/>
    <w:p w14:paraId="637108B3" w14:textId="77777777" w:rsidR="006E7DF3" w:rsidRDefault="006E7DF3" w:rsidP="006E7DF3"/>
    <w:p w14:paraId="02679E04" w14:textId="77777777" w:rsidR="006E7DF3" w:rsidRDefault="006E7DF3" w:rsidP="006E7DF3"/>
    <w:p w14:paraId="5C25A18B" w14:textId="77777777" w:rsidR="006E7DF3" w:rsidRDefault="006E7DF3" w:rsidP="006E7DF3"/>
    <w:p w14:paraId="2AB34424" w14:textId="77777777" w:rsidR="006E7DF3" w:rsidRDefault="006E7DF3" w:rsidP="006E7DF3"/>
    <w:p w14:paraId="3A49E01C" w14:textId="77777777" w:rsidR="006E7DF3" w:rsidRDefault="006E7DF3" w:rsidP="006E7DF3"/>
    <w:p w14:paraId="3F277381" w14:textId="77777777" w:rsidR="006E7DF3" w:rsidRDefault="006E7DF3" w:rsidP="006E7DF3"/>
    <w:p w14:paraId="6786F3D4" w14:textId="77777777" w:rsidR="006E7DF3" w:rsidRDefault="006E7DF3" w:rsidP="006E7DF3"/>
    <w:p w14:paraId="3F44EF4C" w14:textId="77777777" w:rsidR="006E7DF3" w:rsidRDefault="006E7DF3" w:rsidP="006E7DF3"/>
    <w:p w14:paraId="529D03EF" w14:textId="77777777" w:rsidR="006E7DF3" w:rsidRDefault="006E7DF3" w:rsidP="006E7DF3"/>
    <w:p w14:paraId="6CACD30B" w14:textId="77777777" w:rsidR="006E7DF3" w:rsidRDefault="006E7DF3" w:rsidP="006E7DF3"/>
    <w:p w14:paraId="3D294A6D" w14:textId="77777777" w:rsidR="006E7DF3" w:rsidRDefault="006E7DF3" w:rsidP="006E7DF3"/>
    <w:p w14:paraId="74191422" w14:textId="77777777" w:rsidR="006E7DF3" w:rsidRDefault="006E7DF3" w:rsidP="006E7DF3"/>
    <w:p w14:paraId="012642B5" w14:textId="77777777" w:rsidR="006E7DF3" w:rsidRDefault="006E7DF3" w:rsidP="006E7DF3"/>
    <w:p w14:paraId="33D9D207" w14:textId="77777777" w:rsidR="006E7DF3" w:rsidRDefault="006E7DF3" w:rsidP="006E7DF3"/>
    <w:p w14:paraId="465B19D4" w14:textId="77777777" w:rsidR="006E7DF3" w:rsidRDefault="006E7DF3" w:rsidP="006E7DF3"/>
    <w:p w14:paraId="2FFAC3B4" w14:textId="77777777" w:rsidR="006E7DF3" w:rsidRDefault="006E7DF3" w:rsidP="006E7DF3"/>
    <w:p w14:paraId="42329EEA" w14:textId="77777777" w:rsidR="006E7DF3" w:rsidRDefault="006E7DF3" w:rsidP="002E1F99">
      <w:pPr>
        <w:pStyle w:val="Pavadinimas"/>
        <w:jc w:val="left"/>
        <w:rPr>
          <w:b w:val="0"/>
        </w:rPr>
      </w:pPr>
    </w:p>
    <w:p w14:paraId="2B075EA3" w14:textId="77777777" w:rsidR="006E7DF3" w:rsidRDefault="006E7DF3" w:rsidP="002E1F99">
      <w:pPr>
        <w:pStyle w:val="Pavadinimas"/>
        <w:jc w:val="left"/>
        <w:rPr>
          <w:b w:val="0"/>
        </w:rPr>
      </w:pPr>
    </w:p>
    <w:p w14:paraId="179E8025" w14:textId="77777777" w:rsidR="00A637EC" w:rsidRDefault="00A637EC" w:rsidP="006E7DF3">
      <w:pPr>
        <w:pStyle w:val="Pavadinimas"/>
        <w:pBdr>
          <w:bottom w:val="single" w:sz="12" w:space="1" w:color="auto"/>
        </w:pBdr>
      </w:pPr>
    </w:p>
    <w:p w14:paraId="54C64EB5" w14:textId="6D0944BA" w:rsidR="006E7DF3" w:rsidRDefault="006E7DF3" w:rsidP="006E7DF3">
      <w:pPr>
        <w:pStyle w:val="Pavadinimas"/>
        <w:pBdr>
          <w:bottom w:val="single" w:sz="12" w:space="1" w:color="auto"/>
        </w:pBdr>
      </w:pPr>
      <w:r>
        <w:t>JURBARKO RAJONO SAVIVALDYBĖS TARYBOS POSĖDŽIŲ SEKRETORIUS</w:t>
      </w:r>
    </w:p>
    <w:p w14:paraId="56C65822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122FFD27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560F6AC1" w14:textId="77777777" w:rsidR="002E1F99" w:rsidRDefault="002E1F99" w:rsidP="002E1F99">
      <w:pPr>
        <w:pStyle w:val="Paantrat"/>
      </w:pPr>
    </w:p>
    <w:p w14:paraId="287F40B0" w14:textId="77777777" w:rsidR="002E1F99" w:rsidRDefault="002E1F99" w:rsidP="002E1F99">
      <w:pPr>
        <w:pStyle w:val="Paantrat"/>
      </w:pPr>
      <w:r>
        <w:t>AIŠKINAMASIS RAŠTAS</w:t>
      </w:r>
    </w:p>
    <w:p w14:paraId="34E159DC" w14:textId="77777777" w:rsidR="002E1F99" w:rsidRDefault="002E1F99" w:rsidP="002E1F99">
      <w:pPr>
        <w:jc w:val="center"/>
        <w:rPr>
          <w:caps/>
        </w:rPr>
      </w:pPr>
    </w:p>
    <w:p w14:paraId="125B03B0" w14:textId="17E9C8E2" w:rsidR="000065AA" w:rsidRPr="000065AA" w:rsidRDefault="002E1F99" w:rsidP="000065AA">
      <w:pPr>
        <w:jc w:val="center"/>
        <w:rPr>
          <w:b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0065AA" w:rsidRPr="000065AA">
        <w:rPr>
          <w:b/>
        </w:rPr>
        <w:t xml:space="preserve">DĖL JURBARKO RAJONO SAVIVALDYBĖS TARYBOS KONTROLĖS KOMITETO </w:t>
      </w:r>
    </w:p>
    <w:p w14:paraId="0F11DFB3" w14:textId="3C470192" w:rsidR="002E1F99" w:rsidRDefault="000065AA" w:rsidP="000065AA">
      <w:pPr>
        <w:jc w:val="center"/>
        <w:rPr>
          <w:b/>
          <w:bCs/>
          <w:caps/>
        </w:rPr>
      </w:pPr>
      <w:r w:rsidRPr="000065AA">
        <w:rPr>
          <w:b/>
        </w:rPr>
        <w:t>202</w:t>
      </w:r>
      <w:r w:rsidR="009D19EE">
        <w:rPr>
          <w:b/>
        </w:rPr>
        <w:t>6</w:t>
      </w:r>
      <w:r w:rsidRPr="000065AA">
        <w:rPr>
          <w:b/>
        </w:rPr>
        <w:t xml:space="preserve"> METŲ VEIKLOS PROGRAMOS PATVIRTINIMO</w:t>
      </w:r>
      <w:r w:rsidR="002E1F99"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</w:t>
      </w:r>
      <w:r w:rsidR="002E1F99">
        <w:rPr>
          <w:b/>
          <w:bCs/>
          <w:caps/>
        </w:rPr>
        <w:t>projekto</w:t>
      </w:r>
    </w:p>
    <w:p w14:paraId="3BBF9E1C" w14:textId="77777777" w:rsidR="002E1F99" w:rsidRDefault="002E1F99" w:rsidP="002E1F99">
      <w:pPr>
        <w:tabs>
          <w:tab w:val="left" w:pos="567"/>
        </w:tabs>
        <w:jc w:val="center"/>
      </w:pPr>
    </w:p>
    <w:p w14:paraId="412167F9" w14:textId="77777777" w:rsidR="002E1F99" w:rsidRDefault="002E1F99" w:rsidP="002E1F99">
      <w:pPr>
        <w:tabs>
          <w:tab w:val="left" w:pos="567"/>
        </w:tabs>
        <w:jc w:val="center"/>
      </w:pPr>
    </w:p>
    <w:p w14:paraId="399E8018" w14:textId="4B7E6065" w:rsidR="00001758" w:rsidRDefault="000065AA" w:rsidP="002E1F99">
      <w:pPr>
        <w:tabs>
          <w:tab w:val="left" w:pos="0"/>
        </w:tabs>
        <w:jc w:val="center"/>
      </w:pPr>
      <w:r w:rsidRPr="000065AA">
        <w:t>202</w:t>
      </w:r>
      <w:r>
        <w:t>5</w:t>
      </w:r>
      <w:r w:rsidRPr="000065AA">
        <w:t xml:space="preserve"> m. </w:t>
      </w:r>
      <w:r>
        <w:t xml:space="preserve">gruodžio </w:t>
      </w:r>
      <w:r w:rsidR="00DD7A0B">
        <w:t>3</w:t>
      </w:r>
      <w:r w:rsidRPr="000065AA">
        <w:t xml:space="preserve"> d.</w:t>
      </w:r>
    </w:p>
    <w:p w14:paraId="10A4DAE2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F6DD27E" w14:textId="77777777" w:rsidR="002E1F99" w:rsidRDefault="002E1F99" w:rsidP="00804D6B">
      <w:pPr>
        <w:tabs>
          <w:tab w:val="left" w:pos="0"/>
        </w:tabs>
        <w:jc w:val="both"/>
      </w:pPr>
    </w:p>
    <w:p w14:paraId="5330DCB3" w14:textId="77777777" w:rsidR="002E1F99" w:rsidRDefault="002E1F99" w:rsidP="00804D6B">
      <w:pPr>
        <w:tabs>
          <w:tab w:val="left" w:pos="0"/>
        </w:tabs>
        <w:jc w:val="both"/>
      </w:pPr>
    </w:p>
    <w:p w14:paraId="148FB052" w14:textId="77777777" w:rsidR="006A29E6" w:rsidRDefault="006A29E6" w:rsidP="00804D6B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E7DF3" w14:paraId="3628F0F5" w14:textId="77777777" w:rsidTr="00AD72BB">
        <w:tc>
          <w:tcPr>
            <w:tcW w:w="9741" w:type="dxa"/>
          </w:tcPr>
          <w:p w14:paraId="676C05D7" w14:textId="77777777" w:rsidR="006E7DF3" w:rsidRPr="00CA7CB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E7DF3" w14:paraId="2578C070" w14:textId="77777777" w:rsidTr="00AD72BB">
        <w:tc>
          <w:tcPr>
            <w:tcW w:w="9741" w:type="dxa"/>
          </w:tcPr>
          <w:p w14:paraId="5BB0B767" w14:textId="6FB7E649" w:rsidR="006E7DF3" w:rsidRDefault="006E7DF3" w:rsidP="00804D6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D363A">
              <w:rPr>
                <w:szCs w:val="24"/>
              </w:rPr>
              <w:t>Patvirtinti Kontrolės komiteto 202</w:t>
            </w:r>
            <w:r w:rsidR="000065AA">
              <w:rPr>
                <w:szCs w:val="24"/>
              </w:rPr>
              <w:t>6</w:t>
            </w:r>
            <w:r w:rsidRPr="005D363A">
              <w:rPr>
                <w:szCs w:val="24"/>
              </w:rPr>
              <w:t xml:space="preserve"> metų veiklos programą.</w:t>
            </w:r>
          </w:p>
        </w:tc>
      </w:tr>
      <w:tr w:rsidR="006E7DF3" w14:paraId="29C24646" w14:textId="77777777" w:rsidTr="00AD72BB">
        <w:tc>
          <w:tcPr>
            <w:tcW w:w="9741" w:type="dxa"/>
          </w:tcPr>
          <w:p w14:paraId="247B503F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E7DF3" w14:paraId="56182EC3" w14:textId="77777777" w:rsidTr="00AD72BB">
        <w:tc>
          <w:tcPr>
            <w:tcW w:w="9741" w:type="dxa"/>
          </w:tcPr>
          <w:p w14:paraId="0454A8FE" w14:textId="3D757F2C" w:rsidR="005843EE" w:rsidRDefault="005843EE" w:rsidP="00804D6B">
            <w:pPr>
              <w:jc w:val="both"/>
              <w:rPr>
                <w:szCs w:val="24"/>
              </w:rPr>
            </w:pPr>
            <w:r w:rsidRPr="005D363A">
              <w:rPr>
                <w:szCs w:val="24"/>
              </w:rPr>
              <w:t>Lietuvos Respublikos vietos savivaldos įstatymo</w:t>
            </w:r>
            <w:r>
              <w:rPr>
                <w:szCs w:val="24"/>
              </w:rPr>
              <w:t xml:space="preserve"> 15 str. 2 d. 6 p. nustato</w:t>
            </w:r>
            <w:r w:rsidRPr="005D363A">
              <w:rPr>
                <w:szCs w:val="24"/>
              </w:rPr>
              <w:t xml:space="preserve"> išimtin</w:t>
            </w:r>
            <w:r>
              <w:rPr>
                <w:szCs w:val="24"/>
              </w:rPr>
              <w:t>ę</w:t>
            </w:r>
            <w:r w:rsidRPr="005D363A">
              <w:rPr>
                <w:szCs w:val="24"/>
              </w:rPr>
              <w:t xml:space="preserve"> Savivaldybės tarybos kompetencij</w:t>
            </w:r>
            <w:r>
              <w:rPr>
                <w:szCs w:val="24"/>
              </w:rPr>
              <w:t xml:space="preserve">ą </w:t>
            </w:r>
            <w:r w:rsidRPr="00B53B86">
              <w:rPr>
                <w:bCs/>
                <w:szCs w:val="24"/>
              </w:rPr>
              <w:t>–</w:t>
            </w:r>
            <w:r w:rsidRPr="005D363A">
              <w:rPr>
                <w:szCs w:val="24"/>
              </w:rPr>
              <w:t xml:space="preserve"> Kontrolės komiteto veiklos programos tvirtinim</w:t>
            </w:r>
            <w:r>
              <w:rPr>
                <w:szCs w:val="24"/>
              </w:rPr>
              <w:t>ą</w:t>
            </w:r>
            <w:r w:rsidRPr="005D363A">
              <w:rPr>
                <w:szCs w:val="24"/>
              </w:rPr>
              <w:t>.</w:t>
            </w:r>
          </w:p>
          <w:p w14:paraId="1D0EA68D" w14:textId="04D4009D" w:rsidR="006E7DF3" w:rsidRDefault="00BC1B58" w:rsidP="00804D6B">
            <w:pPr>
              <w:jc w:val="both"/>
              <w:rPr>
                <w:sz w:val="22"/>
              </w:rPr>
            </w:pPr>
            <w:r>
              <w:rPr>
                <w:szCs w:val="24"/>
              </w:rPr>
              <w:t xml:space="preserve">Taip pat </w:t>
            </w:r>
            <w:r w:rsidR="006E7DF3" w:rsidRPr="005D363A">
              <w:rPr>
                <w:szCs w:val="24"/>
              </w:rPr>
              <w:t xml:space="preserve">Lietuvos Respublikos vietos savivaldos įstatymo </w:t>
            </w:r>
            <w:r w:rsidR="006E7DF3">
              <w:rPr>
                <w:szCs w:val="24"/>
              </w:rPr>
              <w:t>20</w:t>
            </w:r>
            <w:r w:rsidR="006E7DF3" w:rsidRPr="005D363A">
              <w:rPr>
                <w:szCs w:val="24"/>
              </w:rPr>
              <w:t xml:space="preserve"> straipsnio </w:t>
            </w:r>
            <w:r w:rsidR="006E7DF3">
              <w:rPr>
                <w:szCs w:val="24"/>
              </w:rPr>
              <w:t>3</w:t>
            </w:r>
            <w:r w:rsidR="006E7DF3" w:rsidRPr="005D363A">
              <w:rPr>
                <w:szCs w:val="24"/>
              </w:rPr>
              <w:t xml:space="preserve"> dalis numato, kad</w:t>
            </w:r>
            <w:r w:rsidR="006E7DF3" w:rsidRPr="00D2069B">
              <w:rPr>
                <w:szCs w:val="24"/>
              </w:rPr>
              <w:t xml:space="preserve"> Savivaldybės taryba Kontrolės komiteto veiklos programą patvirtina per vieną mėnesį </w:t>
            </w:r>
            <w:r w:rsidR="006E7DF3">
              <w:rPr>
                <w:szCs w:val="24"/>
              </w:rPr>
              <w:t>nuo kalendorinių metų pradžios</w:t>
            </w:r>
            <w:r w:rsidR="006E7DF3" w:rsidRPr="005D363A">
              <w:rPr>
                <w:szCs w:val="24"/>
              </w:rPr>
              <w:t xml:space="preserve">. </w:t>
            </w:r>
          </w:p>
        </w:tc>
      </w:tr>
      <w:tr w:rsidR="006E7DF3" w14:paraId="7D3B8ACF" w14:textId="77777777" w:rsidTr="00AD72BB">
        <w:tc>
          <w:tcPr>
            <w:tcW w:w="9741" w:type="dxa"/>
          </w:tcPr>
          <w:p w14:paraId="78C6C9E0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E7DF3" w14:paraId="430BDA0F" w14:textId="77777777" w:rsidTr="00AD72BB">
        <w:tc>
          <w:tcPr>
            <w:tcW w:w="9741" w:type="dxa"/>
          </w:tcPr>
          <w:p w14:paraId="704931E4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D363A">
              <w:rPr>
                <w:szCs w:val="24"/>
              </w:rPr>
              <w:t>Bus įgyvendinti teisės aktų reikalavimai</w:t>
            </w:r>
          </w:p>
        </w:tc>
      </w:tr>
      <w:tr w:rsidR="006E7DF3" w14:paraId="384D9EC3" w14:textId="77777777" w:rsidTr="00AD72BB">
        <w:tc>
          <w:tcPr>
            <w:tcW w:w="9741" w:type="dxa"/>
          </w:tcPr>
          <w:p w14:paraId="38B95062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E7DF3" w14:paraId="1AE0D1D6" w14:textId="77777777" w:rsidTr="00AD72BB">
        <w:tc>
          <w:tcPr>
            <w:tcW w:w="9741" w:type="dxa"/>
          </w:tcPr>
          <w:p w14:paraId="14D06C8B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5D363A">
              <w:rPr>
                <w:szCs w:val="24"/>
              </w:rPr>
              <w:t>Nenumatoma</w:t>
            </w:r>
          </w:p>
        </w:tc>
      </w:tr>
      <w:tr w:rsidR="006E7DF3" w14:paraId="25A6C627" w14:textId="77777777" w:rsidTr="00AD72BB">
        <w:tc>
          <w:tcPr>
            <w:tcW w:w="9741" w:type="dxa"/>
          </w:tcPr>
          <w:p w14:paraId="3DDEC134" w14:textId="77777777" w:rsidR="006E7DF3" w:rsidRPr="002D00AA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color w:val="000000"/>
                <w:sz w:val="22"/>
              </w:rPr>
            </w:pPr>
            <w:r w:rsidRPr="002D00AA">
              <w:rPr>
                <w:b/>
                <w:bCs/>
                <w:i/>
                <w:iCs/>
                <w:color w:val="000000"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E7DF3" w14:paraId="1E891F40" w14:textId="77777777" w:rsidTr="00AD72BB">
        <w:tc>
          <w:tcPr>
            <w:tcW w:w="9741" w:type="dxa"/>
          </w:tcPr>
          <w:p w14:paraId="0A0C8CFB" w14:textId="77777777" w:rsidR="006E7DF3" w:rsidRPr="002D00AA" w:rsidRDefault="006E7DF3" w:rsidP="00804D6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D00AA">
              <w:rPr>
                <w:szCs w:val="24"/>
              </w:rPr>
              <w:t>Nėra</w:t>
            </w:r>
          </w:p>
        </w:tc>
      </w:tr>
      <w:tr w:rsidR="006E7DF3" w14:paraId="06AE0E9C" w14:textId="77777777" w:rsidTr="00AD72BB">
        <w:tc>
          <w:tcPr>
            <w:tcW w:w="9741" w:type="dxa"/>
          </w:tcPr>
          <w:p w14:paraId="0D809838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95C5824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CA7CB3">
              <w:rPr>
                <w:szCs w:val="24"/>
              </w:rPr>
              <w:t>Negauta</w:t>
            </w:r>
          </w:p>
        </w:tc>
      </w:tr>
      <w:tr w:rsidR="006E7DF3" w14:paraId="6BCC5919" w14:textId="77777777" w:rsidTr="00AD72BB">
        <w:tc>
          <w:tcPr>
            <w:tcW w:w="9741" w:type="dxa"/>
          </w:tcPr>
          <w:p w14:paraId="5E732C9E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0383A136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D363A">
              <w:rPr>
                <w:szCs w:val="24"/>
              </w:rPr>
              <w:t>Nereikalingas</w:t>
            </w:r>
          </w:p>
        </w:tc>
      </w:tr>
      <w:tr w:rsidR="006E7DF3" w14:paraId="54CAC4F9" w14:textId="77777777" w:rsidTr="00AD72BB">
        <w:tc>
          <w:tcPr>
            <w:tcW w:w="9741" w:type="dxa"/>
          </w:tcPr>
          <w:p w14:paraId="19831509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E7DF3" w14:paraId="710234F1" w14:textId="77777777" w:rsidTr="00AD72BB">
        <w:tc>
          <w:tcPr>
            <w:tcW w:w="9741" w:type="dxa"/>
          </w:tcPr>
          <w:p w14:paraId="01F361F9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D363A">
              <w:rPr>
                <w:szCs w:val="24"/>
              </w:rPr>
              <w:t>Kontrolės komitetas</w:t>
            </w:r>
          </w:p>
        </w:tc>
      </w:tr>
      <w:tr w:rsidR="006E7DF3" w14:paraId="50DF260C" w14:textId="77777777" w:rsidTr="00AD72BB">
        <w:tc>
          <w:tcPr>
            <w:tcW w:w="9741" w:type="dxa"/>
          </w:tcPr>
          <w:p w14:paraId="7CB5F730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7AB37011" w14:textId="2D6C7610" w:rsidR="006E7DF3" w:rsidRPr="00375E40" w:rsidRDefault="006E7DF3" w:rsidP="00804D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4623C0">
              <w:rPr>
                <w:szCs w:val="24"/>
              </w:rPr>
              <w:t>Kontrolės komiteto 202</w:t>
            </w:r>
            <w:r w:rsidR="0023210E">
              <w:rPr>
                <w:szCs w:val="24"/>
              </w:rPr>
              <w:t>6</w:t>
            </w:r>
            <w:r w:rsidRPr="004623C0">
              <w:rPr>
                <w:szCs w:val="24"/>
              </w:rPr>
              <w:t xml:space="preserve"> metų veiklos programos projektas svarstytas 202</w:t>
            </w:r>
            <w:r w:rsidR="0023210E">
              <w:rPr>
                <w:szCs w:val="24"/>
              </w:rPr>
              <w:t>5</w:t>
            </w:r>
            <w:r w:rsidRPr="004623C0">
              <w:rPr>
                <w:szCs w:val="24"/>
              </w:rPr>
              <w:t xml:space="preserve"> m. lapkričio </w:t>
            </w:r>
            <w:r w:rsidR="00375E40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4623C0">
              <w:rPr>
                <w:szCs w:val="24"/>
              </w:rPr>
              <w:t xml:space="preserve"> d. posėdyje.</w:t>
            </w:r>
          </w:p>
        </w:tc>
      </w:tr>
      <w:tr w:rsidR="006E7DF3" w14:paraId="38192E7D" w14:textId="77777777" w:rsidTr="00AD72BB">
        <w:tc>
          <w:tcPr>
            <w:tcW w:w="9741" w:type="dxa"/>
          </w:tcPr>
          <w:p w14:paraId="1BC38D87" w14:textId="77777777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6E7DF3" w14:paraId="18913D22" w14:textId="77777777" w:rsidTr="00AD72BB">
        <w:tc>
          <w:tcPr>
            <w:tcW w:w="9741" w:type="dxa"/>
          </w:tcPr>
          <w:p w14:paraId="39193EF6" w14:textId="7CE7CC48" w:rsidR="006E7DF3" w:rsidRDefault="006E7DF3" w:rsidP="00804D6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D363A">
              <w:rPr>
                <w:bCs/>
                <w:iCs/>
                <w:szCs w:val="24"/>
              </w:rPr>
              <w:t xml:space="preserve">Rengėjai, Kontrolės komiteto nariams, Kontrolės ir audito </w:t>
            </w:r>
            <w:r w:rsidRPr="009D19EE">
              <w:rPr>
                <w:bCs/>
                <w:iCs/>
                <w:szCs w:val="24"/>
              </w:rPr>
              <w:t>tarnybai</w:t>
            </w:r>
            <w:r w:rsidR="00804D6B" w:rsidRPr="009D19EE">
              <w:rPr>
                <w:bCs/>
                <w:iCs/>
                <w:szCs w:val="24"/>
              </w:rPr>
              <w:t>, Centralizuot</w:t>
            </w:r>
            <w:r w:rsidR="00C15988" w:rsidRPr="009D19EE">
              <w:rPr>
                <w:bCs/>
                <w:iCs/>
                <w:szCs w:val="24"/>
              </w:rPr>
              <w:t>am</w:t>
            </w:r>
            <w:r w:rsidR="00804D6B" w:rsidRPr="009D19EE">
              <w:rPr>
                <w:bCs/>
                <w:iCs/>
                <w:szCs w:val="24"/>
              </w:rPr>
              <w:t xml:space="preserve"> vidaus audito skyriui</w:t>
            </w:r>
          </w:p>
        </w:tc>
      </w:tr>
    </w:tbl>
    <w:p w14:paraId="16E30C0F" w14:textId="77777777" w:rsidR="002E1F99" w:rsidRDefault="002E1F99" w:rsidP="002E1F99">
      <w:pPr>
        <w:tabs>
          <w:tab w:val="left" w:pos="567"/>
        </w:tabs>
      </w:pPr>
    </w:p>
    <w:p w14:paraId="1F525299" w14:textId="77777777" w:rsidR="00B668F0" w:rsidRDefault="00B668F0" w:rsidP="00B668F0">
      <w:r>
        <w:t>Parengė</w:t>
      </w:r>
    </w:p>
    <w:p w14:paraId="3437856F" w14:textId="77777777" w:rsidR="00B668F0" w:rsidRDefault="006E7DF3" w:rsidP="00B668F0">
      <w:r>
        <w:t>Kontrolės komitetas</w:t>
      </w:r>
    </w:p>
    <w:p w14:paraId="7C2DE0D4" w14:textId="4CB443CC" w:rsidR="006A29E6" w:rsidRDefault="00375E40" w:rsidP="00B668F0">
      <w:r>
        <w:t>Dovilė Dačkauskaitė</w:t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7D4E" w14:textId="77777777" w:rsidR="001976AE" w:rsidRDefault="001976AE">
      <w:r>
        <w:separator/>
      </w:r>
    </w:p>
  </w:endnote>
  <w:endnote w:type="continuationSeparator" w:id="0">
    <w:p w14:paraId="2160FEA3" w14:textId="77777777" w:rsidR="001976AE" w:rsidRDefault="001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17F9" w14:textId="77777777" w:rsidR="001976AE" w:rsidRDefault="001976AE">
      <w:r>
        <w:separator/>
      </w:r>
    </w:p>
  </w:footnote>
  <w:footnote w:type="continuationSeparator" w:id="0">
    <w:p w14:paraId="1708AA7F" w14:textId="77777777" w:rsidR="001976AE" w:rsidRDefault="0019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3974" w14:textId="77777777" w:rsidR="00FC1CD3" w:rsidRDefault="009711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E6DD6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1B8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40A2373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96282917">
    <w:abstractNumId w:val="4"/>
  </w:num>
  <w:num w:numId="2" w16cid:durableId="1549994263">
    <w:abstractNumId w:val="3"/>
  </w:num>
  <w:num w:numId="3" w16cid:durableId="529496283">
    <w:abstractNumId w:val="5"/>
  </w:num>
  <w:num w:numId="4" w16cid:durableId="93979507">
    <w:abstractNumId w:val="2"/>
  </w:num>
  <w:num w:numId="5" w16cid:durableId="321931110">
    <w:abstractNumId w:val="7"/>
  </w:num>
  <w:num w:numId="6" w16cid:durableId="166094707">
    <w:abstractNumId w:val="6"/>
  </w:num>
  <w:num w:numId="7" w16cid:durableId="1731612324">
    <w:abstractNumId w:val="1"/>
  </w:num>
  <w:num w:numId="8" w16cid:durableId="1720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65AA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65EE5"/>
    <w:rsid w:val="00172D6E"/>
    <w:rsid w:val="00181E5E"/>
    <w:rsid w:val="00182224"/>
    <w:rsid w:val="00185C0B"/>
    <w:rsid w:val="00186467"/>
    <w:rsid w:val="00190B66"/>
    <w:rsid w:val="001952BC"/>
    <w:rsid w:val="001976AE"/>
    <w:rsid w:val="001D4EA6"/>
    <w:rsid w:val="00203CFC"/>
    <w:rsid w:val="00207BCB"/>
    <w:rsid w:val="002203ED"/>
    <w:rsid w:val="00226341"/>
    <w:rsid w:val="00227AB2"/>
    <w:rsid w:val="0023210E"/>
    <w:rsid w:val="002325F6"/>
    <w:rsid w:val="00234B9B"/>
    <w:rsid w:val="00246055"/>
    <w:rsid w:val="00251454"/>
    <w:rsid w:val="00251850"/>
    <w:rsid w:val="00281984"/>
    <w:rsid w:val="002E1F99"/>
    <w:rsid w:val="002F084E"/>
    <w:rsid w:val="002F4A2B"/>
    <w:rsid w:val="002F66CD"/>
    <w:rsid w:val="002F7E49"/>
    <w:rsid w:val="00323FE1"/>
    <w:rsid w:val="00333FD4"/>
    <w:rsid w:val="003421EA"/>
    <w:rsid w:val="003459E5"/>
    <w:rsid w:val="00351EAE"/>
    <w:rsid w:val="00372033"/>
    <w:rsid w:val="00375E40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3708B"/>
    <w:rsid w:val="00445CDE"/>
    <w:rsid w:val="00454723"/>
    <w:rsid w:val="00460718"/>
    <w:rsid w:val="004B0CB9"/>
    <w:rsid w:val="004B1E88"/>
    <w:rsid w:val="004B2369"/>
    <w:rsid w:val="004B3700"/>
    <w:rsid w:val="004B5CB3"/>
    <w:rsid w:val="004B78F3"/>
    <w:rsid w:val="004B7BDB"/>
    <w:rsid w:val="00501C69"/>
    <w:rsid w:val="005209D1"/>
    <w:rsid w:val="00520A16"/>
    <w:rsid w:val="005231DA"/>
    <w:rsid w:val="00542B92"/>
    <w:rsid w:val="00551276"/>
    <w:rsid w:val="00553547"/>
    <w:rsid w:val="00560288"/>
    <w:rsid w:val="00570AD7"/>
    <w:rsid w:val="005843EE"/>
    <w:rsid w:val="00584CBB"/>
    <w:rsid w:val="00593FFF"/>
    <w:rsid w:val="005B2122"/>
    <w:rsid w:val="005C31CD"/>
    <w:rsid w:val="005D1F24"/>
    <w:rsid w:val="005D5D46"/>
    <w:rsid w:val="005F32D8"/>
    <w:rsid w:val="005F3CDA"/>
    <w:rsid w:val="006046BD"/>
    <w:rsid w:val="00633E09"/>
    <w:rsid w:val="00641E12"/>
    <w:rsid w:val="00647DCD"/>
    <w:rsid w:val="00673C21"/>
    <w:rsid w:val="00686E66"/>
    <w:rsid w:val="00697D48"/>
    <w:rsid w:val="006A29E6"/>
    <w:rsid w:val="006B72D3"/>
    <w:rsid w:val="006E7DF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7F2A58"/>
    <w:rsid w:val="008030DA"/>
    <w:rsid w:val="00804D6B"/>
    <w:rsid w:val="00832B07"/>
    <w:rsid w:val="008554EA"/>
    <w:rsid w:val="00857A06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71168"/>
    <w:rsid w:val="0098095A"/>
    <w:rsid w:val="00992B19"/>
    <w:rsid w:val="009A6D33"/>
    <w:rsid w:val="009B5344"/>
    <w:rsid w:val="009C68F2"/>
    <w:rsid w:val="009D19EE"/>
    <w:rsid w:val="00A1347F"/>
    <w:rsid w:val="00A151E4"/>
    <w:rsid w:val="00A31AA9"/>
    <w:rsid w:val="00A50EB5"/>
    <w:rsid w:val="00A53CC7"/>
    <w:rsid w:val="00A61F57"/>
    <w:rsid w:val="00A637EC"/>
    <w:rsid w:val="00A85052"/>
    <w:rsid w:val="00A9231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24251"/>
    <w:rsid w:val="00B3497C"/>
    <w:rsid w:val="00B418C7"/>
    <w:rsid w:val="00B42A07"/>
    <w:rsid w:val="00B54A3C"/>
    <w:rsid w:val="00B57A83"/>
    <w:rsid w:val="00B668F0"/>
    <w:rsid w:val="00B728BD"/>
    <w:rsid w:val="00B72CDF"/>
    <w:rsid w:val="00B81EF2"/>
    <w:rsid w:val="00B82C13"/>
    <w:rsid w:val="00B8562E"/>
    <w:rsid w:val="00B92B25"/>
    <w:rsid w:val="00B951B0"/>
    <w:rsid w:val="00BA627E"/>
    <w:rsid w:val="00BA7260"/>
    <w:rsid w:val="00BA7D22"/>
    <w:rsid w:val="00BC1B58"/>
    <w:rsid w:val="00BF582B"/>
    <w:rsid w:val="00C0081B"/>
    <w:rsid w:val="00C02331"/>
    <w:rsid w:val="00C04267"/>
    <w:rsid w:val="00C13615"/>
    <w:rsid w:val="00C15988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C38E8"/>
    <w:rsid w:val="00DD58E1"/>
    <w:rsid w:val="00DD7A0B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01884"/>
    <w:rsid w:val="00F20019"/>
    <w:rsid w:val="00F27C80"/>
    <w:rsid w:val="00F320CA"/>
    <w:rsid w:val="00F40651"/>
    <w:rsid w:val="00F4093E"/>
    <w:rsid w:val="00F41A98"/>
    <w:rsid w:val="00F4316F"/>
    <w:rsid w:val="00F6384B"/>
    <w:rsid w:val="00F65913"/>
    <w:rsid w:val="00F67640"/>
    <w:rsid w:val="00F75C89"/>
    <w:rsid w:val="00F7723D"/>
    <w:rsid w:val="00F92289"/>
    <w:rsid w:val="00F93327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1CB6"/>
  <w15:docId w15:val="{02BBC194-B818-4E63-9974-1D47EE8F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basedOn w:val="Numatytasispastraiposriftas"/>
    <w:rsid w:val="0056028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560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3844</Words>
  <Characters>2192</Characters>
  <Application>Microsoft Office Word</Application>
  <DocSecurity>0</DocSecurity>
  <Lines>18</Lines>
  <Paragraphs>12</Paragraphs>
  <ScaleCrop>false</ScaleCrop>
  <Company>Sveikatos apsaugos ministerija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2025-12-03T09:06:00Z</dcterms:created>
  <dcterms:modified xsi:type="dcterms:W3CDTF">2025-12-03T09:06:00Z</dcterms:modified>
</cp:coreProperties>
</file>