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6D43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67748319" w14:textId="77777777" w:rsidR="00FC1CD3" w:rsidRDefault="00FC1CD3">
      <w:pPr>
        <w:jc w:val="center"/>
        <w:rPr>
          <w:b/>
          <w:bCs/>
          <w:lang w:val="en-US"/>
        </w:rPr>
      </w:pPr>
    </w:p>
    <w:p w14:paraId="7BD6352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3C2795A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D2E796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6B65D85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67F6011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AF44633" w14:textId="77777777" w:rsidR="00136183" w:rsidRDefault="00136183" w:rsidP="001361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>
              <w:rPr>
                <w:b/>
                <w:bCs/>
                <w:color w:val="000000"/>
                <w:szCs w:val="24"/>
                <w:shd w:val="clear" w:color="auto" w:fill="FFFFFF"/>
                <w:lang w:val="pt-BR"/>
              </w:rPr>
              <w:t>VALSTYBINĖS ŽEMĖS SKLYPO (UNIKALUS NR. 4400-2314-8629), ESANČIO ADRESU: P. PAULAIČIO G. 11A, JURBARKO MIESTAS, NUOMOS TEISĖS ĮKEITIMO</w:t>
            </w:r>
          </w:p>
          <w:p w14:paraId="1835EDF1" w14:textId="77777777" w:rsidR="00FC1CD3" w:rsidRPr="00AE61D9" w:rsidRDefault="0042074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6EA0DDB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3953861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7244D10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C65C431" w14:textId="77777777" w:rsidR="00FC1CD3" w:rsidRPr="00AE61D9" w:rsidRDefault="0042074D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birželio 10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TSP-190</w:t>
            </w:r>
            <w:r w:rsidRPr="00AE61D9">
              <w:fldChar w:fldCharType="end"/>
            </w:r>
          </w:p>
        </w:tc>
      </w:tr>
      <w:tr w:rsidR="00FC1CD3" w14:paraId="5F96C28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6AD40AC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5B0954C" w14:textId="77777777" w:rsidR="00FC1CD3" w:rsidRPr="00892223" w:rsidRDefault="00FC1CD3"/>
    <w:p w14:paraId="525C548F" w14:textId="77777777" w:rsidR="00FC1CD3" w:rsidRDefault="00FC1CD3">
      <w:pPr>
        <w:jc w:val="both"/>
      </w:pPr>
    </w:p>
    <w:p w14:paraId="3B24C485" w14:textId="77777777" w:rsidR="00136183" w:rsidRPr="00CB470D" w:rsidRDefault="00136183" w:rsidP="00CB470D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</w:t>
      </w:r>
      <w:r w:rsidR="00CB470D">
        <w:rPr>
          <w:szCs w:val="24"/>
        </w:rPr>
        <w:br/>
      </w:r>
      <w:r>
        <w:rPr>
          <w:szCs w:val="24"/>
        </w:rPr>
        <w:t>20 punktu, 63 straipsnio 4 dalimi, Lietuvos Respublikos žemės įstatymo 7 straipsnio 1 dalies</w:t>
      </w:r>
      <w:r w:rsidR="00CB470D">
        <w:rPr>
          <w:szCs w:val="24"/>
        </w:rPr>
        <w:t xml:space="preserve"> </w:t>
      </w:r>
      <w:r w:rsidR="00CB470D">
        <w:rPr>
          <w:szCs w:val="24"/>
        </w:rPr>
        <w:br/>
      </w:r>
      <w:r>
        <w:rPr>
          <w:szCs w:val="24"/>
        </w:rPr>
        <w:t xml:space="preserve">2 punktu, įgyvendindama Naudojamų kitos paskirties valstybinės žemės sklypų pardavimo ir nuomos taisyklių, patvirtintų Lietuvos Respublikos Vyriausybės 1999 m. kovo 9 d. nutarimu </w:t>
      </w:r>
      <w:r w:rsidR="00CB470D">
        <w:rPr>
          <w:szCs w:val="24"/>
        </w:rPr>
        <w:br/>
      </w:r>
      <w:r>
        <w:rPr>
          <w:szCs w:val="24"/>
        </w:rPr>
        <w:t>Nr. 260 „</w:t>
      </w:r>
      <w:r w:rsidR="006A396A" w:rsidRPr="006A396A">
        <w:rPr>
          <w:szCs w:val="24"/>
        </w:rPr>
        <w:t>Dėl kitos paskirties valstybinės žemės sklypų pardavimo ir nuomos taisyklių patvirtinimo“, 54</w:t>
      </w:r>
      <w:r w:rsidR="006A396A" w:rsidRPr="00FD7E43">
        <w:rPr>
          <w:b/>
          <w:bCs/>
          <w:szCs w:val="24"/>
        </w:rPr>
        <w:t xml:space="preserve"> </w:t>
      </w:r>
      <w:r>
        <w:rPr>
          <w:szCs w:val="24"/>
        </w:rPr>
        <w:t>punktą ir atsižvelgdama į UAB „</w:t>
      </w:r>
      <w:proofErr w:type="spellStart"/>
      <w:r>
        <w:rPr>
          <w:szCs w:val="24"/>
        </w:rPr>
        <w:t>Automagas</w:t>
      </w:r>
      <w:proofErr w:type="spellEnd"/>
      <w:r>
        <w:rPr>
          <w:szCs w:val="24"/>
        </w:rPr>
        <w:t>“ 2024 m. gegužės 17 d. prašymą, Jurbarko rajono savivaldybės taryba</w:t>
      </w:r>
      <w:r>
        <w:t xml:space="preserve"> n u s p r e n d ž i a: </w:t>
      </w:r>
    </w:p>
    <w:p w14:paraId="0C94029A" w14:textId="6C3B828D" w:rsidR="00136183" w:rsidRDefault="00136183" w:rsidP="00136183">
      <w:pPr>
        <w:ind w:firstLine="851"/>
        <w:jc w:val="both"/>
        <w:rPr>
          <w:szCs w:val="24"/>
        </w:rPr>
      </w:pPr>
      <w:r>
        <w:rPr>
          <w:szCs w:val="24"/>
        </w:rPr>
        <w:t>1. Sutikti, kad UAB „</w:t>
      </w:r>
      <w:proofErr w:type="spellStart"/>
      <w:r>
        <w:rPr>
          <w:szCs w:val="24"/>
        </w:rPr>
        <w:t>Automagas</w:t>
      </w:r>
      <w:proofErr w:type="spellEnd"/>
      <w:r>
        <w:rPr>
          <w:szCs w:val="24"/>
        </w:rPr>
        <w:t>“ įkeistų 0,7675 ha valstybinės žemės sklypo (kadastro Nr. 9420/0001:383), esančio adresu: P. Paulaičio g. 11A, Jurbarko miestas, reikalingo įkeičiamiems pastatams – pastat</w:t>
      </w:r>
      <w:r w:rsidR="00CB470D">
        <w:rPr>
          <w:szCs w:val="24"/>
        </w:rPr>
        <w:t>ui</w:t>
      </w:r>
      <w:r>
        <w:rPr>
          <w:szCs w:val="24"/>
        </w:rPr>
        <w:t>-garaž</w:t>
      </w:r>
      <w:r w:rsidR="00CB470D">
        <w:rPr>
          <w:szCs w:val="24"/>
        </w:rPr>
        <w:t>ui</w:t>
      </w:r>
      <w:r>
        <w:rPr>
          <w:szCs w:val="24"/>
        </w:rPr>
        <w:t xml:space="preserve"> (unikalus Nr. 9497-1000-7128), kit</w:t>
      </w:r>
      <w:r w:rsidR="00CB470D">
        <w:rPr>
          <w:szCs w:val="24"/>
        </w:rPr>
        <w:t>iems</w:t>
      </w:r>
      <w:r>
        <w:rPr>
          <w:szCs w:val="24"/>
        </w:rPr>
        <w:t xml:space="preserve"> inžinerinia</w:t>
      </w:r>
      <w:r w:rsidR="00CB470D">
        <w:rPr>
          <w:szCs w:val="24"/>
        </w:rPr>
        <w:t>ms</w:t>
      </w:r>
      <w:r>
        <w:rPr>
          <w:szCs w:val="24"/>
        </w:rPr>
        <w:t xml:space="preserve"> </w:t>
      </w:r>
      <w:r w:rsidR="00CB470D">
        <w:rPr>
          <w:szCs w:val="24"/>
        </w:rPr>
        <w:br/>
      </w:r>
      <w:r>
        <w:rPr>
          <w:szCs w:val="24"/>
        </w:rPr>
        <w:t>statinia</w:t>
      </w:r>
      <w:r w:rsidR="00CB470D">
        <w:rPr>
          <w:szCs w:val="24"/>
        </w:rPr>
        <w:t>ms</w:t>
      </w:r>
      <w:r>
        <w:rPr>
          <w:szCs w:val="24"/>
        </w:rPr>
        <w:t>-kiemo statini</w:t>
      </w:r>
      <w:r w:rsidR="00CB470D">
        <w:rPr>
          <w:szCs w:val="24"/>
        </w:rPr>
        <w:t>ams</w:t>
      </w:r>
      <w:r>
        <w:rPr>
          <w:szCs w:val="24"/>
        </w:rPr>
        <w:t xml:space="preserve"> (unikalus Nr. 9497-1000-7395) eksploatuoti, nuomos teisę pagal 2019</w:t>
      </w:r>
      <w:r w:rsidR="006E6853">
        <w:rPr>
          <w:szCs w:val="24"/>
        </w:rPr>
        <w:t> </w:t>
      </w:r>
      <w:r>
        <w:rPr>
          <w:szCs w:val="24"/>
        </w:rPr>
        <w:t xml:space="preserve"> m. gegužės 2 d. valstybinės žemės nuomos sutartį Nr. 32SŽN-42-(14.32.62.) AB Šiaulių Bankui.</w:t>
      </w:r>
    </w:p>
    <w:p w14:paraId="25349115" w14:textId="6F2D7591" w:rsidR="006A396A" w:rsidRPr="00FD7E43" w:rsidRDefault="00136183" w:rsidP="006A396A">
      <w:pPr>
        <w:ind w:firstLine="851"/>
        <w:jc w:val="both"/>
        <w:rPr>
          <w:b/>
          <w:bCs/>
        </w:rPr>
      </w:pPr>
      <w:r>
        <w:rPr>
          <w:szCs w:val="24"/>
        </w:rPr>
        <w:t xml:space="preserve">2. </w:t>
      </w:r>
      <w:r w:rsidR="006A396A" w:rsidRPr="006A396A">
        <w:rPr>
          <w:color w:val="000000"/>
          <w:shd w:val="clear" w:color="auto" w:fill="FFFFFF"/>
        </w:rPr>
        <w:t xml:space="preserve">Nustatyti, kad sutikimas įkeisti šio sprendimo 1 punkte nurodyto žemės sklypo dalies nuomos teisę išduodamas ne ilgesniam kaip 3 mėnesių terminui nuo šio sprendimo priėmimo </w:t>
      </w:r>
      <w:r w:rsidR="006A396A" w:rsidRPr="006E6853">
        <w:rPr>
          <w:color w:val="000000"/>
          <w:shd w:val="clear" w:color="auto" w:fill="FFFFFF"/>
        </w:rPr>
        <w:t>dienos</w:t>
      </w:r>
      <w:r w:rsidR="006E6853" w:rsidRPr="006E6853">
        <w:rPr>
          <w:color w:val="000000"/>
          <w:shd w:val="clear" w:color="auto" w:fill="FFFFFF"/>
        </w:rPr>
        <w:t>.</w:t>
      </w:r>
    </w:p>
    <w:p w14:paraId="6CAEA2E0" w14:textId="77777777" w:rsidR="00136183" w:rsidRDefault="00136183" w:rsidP="0013618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Šis sprendimas per vieną mėnesį nuo paskelbimo arba įteikimo suinteresuotai šaliai dienos gali būti skundžiamas Lietuvos administracinių ginčų komisijos Kauno apygardos skyriui </w:t>
      </w:r>
      <w:r w:rsidRPr="00366F1D">
        <w:t xml:space="preserve">(Laisvės al. 36, </w:t>
      </w:r>
      <w:r>
        <w:t xml:space="preserve">Kaunas) Lietuvos Respublikos ikiteisminio administracinių ginčų nagrinėjimo tvarkos įstatymo nustatyta tvarka arba Regionų apygardos administracinio teismo Kauno rūmams </w:t>
      </w:r>
      <w:r>
        <w:br/>
      </w:r>
      <w:r w:rsidRPr="00366F1D">
        <w:t xml:space="preserve">(A. Mickevičiaus </w:t>
      </w:r>
      <w:r>
        <w:t>g. 8A, Kaunas) Lietuvos Respublikos administracinių bylų teisenos įstatymo nustatyta tvarka.</w:t>
      </w:r>
    </w:p>
    <w:p w14:paraId="02AB59D3" w14:textId="77777777" w:rsidR="00136183" w:rsidRDefault="00136183" w:rsidP="00136183">
      <w:pPr>
        <w:tabs>
          <w:tab w:val="left" w:pos="1134"/>
        </w:tabs>
        <w:jc w:val="both"/>
        <w:rPr>
          <w:bCs/>
          <w:szCs w:val="24"/>
        </w:rPr>
      </w:pPr>
    </w:p>
    <w:p w14:paraId="02A19D3E" w14:textId="77777777" w:rsidR="00136183" w:rsidRDefault="00136183" w:rsidP="00136183">
      <w:pPr>
        <w:tabs>
          <w:tab w:val="left" w:pos="1134"/>
        </w:tabs>
        <w:ind w:left="851"/>
        <w:jc w:val="both"/>
        <w:rPr>
          <w:bCs/>
          <w:szCs w:val="24"/>
        </w:rPr>
      </w:pPr>
    </w:p>
    <w:p w14:paraId="0D19FFBD" w14:textId="77777777" w:rsidR="00136183" w:rsidRDefault="00136183" w:rsidP="00136183">
      <w:pPr>
        <w:tabs>
          <w:tab w:val="left" w:pos="6917"/>
          <w:tab w:val="left" w:pos="6946"/>
        </w:tabs>
        <w:rPr>
          <w:szCs w:val="24"/>
        </w:rPr>
      </w:pPr>
      <w:r>
        <w:rPr>
          <w:szCs w:val="24"/>
        </w:rPr>
        <w:t>Savivaldybės meras</w:t>
      </w:r>
    </w:p>
    <w:p w14:paraId="3974A037" w14:textId="77777777" w:rsidR="00136183" w:rsidRDefault="00136183" w:rsidP="00136183">
      <w:pPr>
        <w:tabs>
          <w:tab w:val="left" w:pos="6917"/>
          <w:tab w:val="left" w:pos="6946"/>
        </w:tabs>
        <w:rPr>
          <w:szCs w:val="24"/>
        </w:rPr>
      </w:pPr>
    </w:p>
    <w:p w14:paraId="4A3336CA" w14:textId="77777777" w:rsidR="00136183" w:rsidRDefault="00136183" w:rsidP="00136183">
      <w:r>
        <w:t xml:space="preserve">Vizos: </w:t>
      </w:r>
    </w:p>
    <w:p w14:paraId="29C9BEB9" w14:textId="77777777" w:rsidR="00136183" w:rsidRDefault="00136183" w:rsidP="00136183">
      <w:r>
        <w:t xml:space="preserve">Administracijos direktorė R. </w:t>
      </w:r>
      <w:proofErr w:type="spellStart"/>
      <w:r>
        <w:t>Vančienė</w:t>
      </w:r>
      <w:proofErr w:type="spellEnd"/>
    </w:p>
    <w:p w14:paraId="3BA682CB" w14:textId="77777777" w:rsidR="00136183" w:rsidRDefault="00136183" w:rsidP="00136183">
      <w:r>
        <w:t xml:space="preserve">Teisės ir civilinės metrikacijos skyriaus vedėja O. </w:t>
      </w:r>
      <w:proofErr w:type="spellStart"/>
      <w:r>
        <w:t>Sutkaitienė</w:t>
      </w:r>
      <w:proofErr w:type="spellEnd"/>
      <w:r>
        <w:t xml:space="preserve"> </w:t>
      </w:r>
    </w:p>
    <w:p w14:paraId="7DF47970" w14:textId="77777777" w:rsidR="00136183" w:rsidRDefault="00136183" w:rsidP="00136183">
      <w:r>
        <w:t>Tarybos posėdžių sekretorė D. Dačkauskaitė</w:t>
      </w:r>
    </w:p>
    <w:p w14:paraId="26E3B9C5" w14:textId="77777777" w:rsidR="00136183" w:rsidRDefault="00136183" w:rsidP="00136183">
      <w:r>
        <w:t>Dokumentų ir viešųjų ryšių skyriaus vyr. specialistas A. Gvildys</w:t>
      </w:r>
    </w:p>
    <w:p w14:paraId="095A8C9E" w14:textId="77777777" w:rsidR="00136183" w:rsidRDefault="00136183" w:rsidP="00136183">
      <w:r>
        <w:t xml:space="preserve">Infrastruktūros ir turto skyriaus vedėja Jolanta </w:t>
      </w:r>
      <w:proofErr w:type="spellStart"/>
      <w:r>
        <w:t>Šeflerienė</w:t>
      </w:r>
      <w:proofErr w:type="spellEnd"/>
    </w:p>
    <w:p w14:paraId="71D138E6" w14:textId="77777777" w:rsidR="00136183" w:rsidRDefault="00136183" w:rsidP="00136183"/>
    <w:p w14:paraId="0280D5E8" w14:textId="77777777" w:rsidR="00136183" w:rsidRDefault="00136183" w:rsidP="00136183">
      <w:r>
        <w:t>Parengė</w:t>
      </w:r>
    </w:p>
    <w:p w14:paraId="239ACC9F" w14:textId="77777777" w:rsidR="00136183" w:rsidRDefault="00136183" w:rsidP="00136183"/>
    <w:p w14:paraId="04A8B11B" w14:textId="77777777" w:rsidR="00136183" w:rsidRDefault="00136183" w:rsidP="00136183"/>
    <w:p w14:paraId="569F0BE9" w14:textId="77777777" w:rsidR="00136183" w:rsidRPr="00D702E7" w:rsidRDefault="00136183" w:rsidP="00136183">
      <w:pPr>
        <w:pStyle w:val="Antrats"/>
        <w:rPr>
          <w:lang w:eastAsia="en-US"/>
        </w:rPr>
      </w:pPr>
      <w:r w:rsidRPr="00D702E7">
        <w:rPr>
          <w:lang w:eastAsia="en-US"/>
        </w:rPr>
        <w:t xml:space="preserve">Saulius Lapėnas, tel. </w:t>
      </w:r>
      <w:r w:rsidR="00CB470D">
        <w:rPr>
          <w:lang w:eastAsia="en-US"/>
        </w:rPr>
        <w:t xml:space="preserve">+370 </w:t>
      </w:r>
      <w:r w:rsidRPr="00D702E7">
        <w:rPr>
          <w:lang w:eastAsia="en-US"/>
        </w:rPr>
        <w:t xml:space="preserve">447 70 176  el. p.  </w:t>
      </w:r>
      <w:hyperlink r:id="rId7" w:history="1">
        <w:r w:rsidRPr="00D702E7">
          <w:rPr>
            <w:rStyle w:val="Hipersaitas"/>
            <w:lang w:eastAsia="en-US"/>
          </w:rPr>
          <w:t>saulius.lapenas@jurbarkas.lt</w:t>
        </w:r>
      </w:hyperlink>
    </w:p>
    <w:p w14:paraId="2E98BED7" w14:textId="77777777" w:rsidR="00136183" w:rsidRDefault="00136183" w:rsidP="00136183">
      <w:pPr>
        <w:pStyle w:val="Antrats"/>
        <w:tabs>
          <w:tab w:val="clear" w:pos="4153"/>
          <w:tab w:val="clear" w:pos="8306"/>
        </w:tabs>
      </w:pPr>
    </w:p>
    <w:p w14:paraId="34DE05BD" w14:textId="77777777" w:rsidR="00136183" w:rsidRDefault="00136183" w:rsidP="00136183">
      <w:pPr>
        <w:pStyle w:val="Antrats"/>
        <w:tabs>
          <w:tab w:val="clear" w:pos="4153"/>
          <w:tab w:val="clear" w:pos="8306"/>
        </w:tabs>
      </w:pPr>
      <w:r>
        <w:t>2024-06-</w:t>
      </w:r>
    </w:p>
    <w:p w14:paraId="448EF003" w14:textId="77777777" w:rsidR="002E1F99" w:rsidRDefault="002E1F99" w:rsidP="002E1F99">
      <w:pPr>
        <w:pStyle w:val="Pavadinimas"/>
        <w:jc w:val="left"/>
        <w:rPr>
          <w:b w:val="0"/>
        </w:rPr>
      </w:pPr>
    </w:p>
    <w:p w14:paraId="3A9A8073" w14:textId="77777777" w:rsidR="00136183" w:rsidRDefault="00136183" w:rsidP="002E1F99">
      <w:pPr>
        <w:pStyle w:val="Pavadinimas"/>
        <w:jc w:val="left"/>
        <w:rPr>
          <w:b w:val="0"/>
        </w:rPr>
      </w:pPr>
    </w:p>
    <w:p w14:paraId="543EA20E" w14:textId="77777777" w:rsidR="00136183" w:rsidRDefault="00136183" w:rsidP="002E1F99">
      <w:pPr>
        <w:pStyle w:val="Pavadinimas"/>
        <w:jc w:val="left"/>
        <w:rPr>
          <w:b w:val="0"/>
        </w:rPr>
      </w:pPr>
    </w:p>
    <w:p w14:paraId="01DBCA9B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67F855C7" w14:textId="77777777" w:rsidR="00B668F0" w:rsidRDefault="00136183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3CFF9959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34AAC4F3" w14:textId="77777777" w:rsidR="002E1F99" w:rsidRDefault="002E1F99" w:rsidP="002E1F99">
      <w:pPr>
        <w:pStyle w:val="Paantrat"/>
      </w:pPr>
    </w:p>
    <w:p w14:paraId="16525B0C" w14:textId="77777777" w:rsidR="002E1F99" w:rsidRDefault="002E1F99" w:rsidP="002E1F99">
      <w:pPr>
        <w:pStyle w:val="Paantrat"/>
      </w:pPr>
      <w:r>
        <w:t>AIŠKINAMASIS RAŠTAS</w:t>
      </w:r>
    </w:p>
    <w:p w14:paraId="707B9ABF" w14:textId="77777777" w:rsidR="002E1F99" w:rsidRDefault="002E1F99" w:rsidP="002E1F99">
      <w:pPr>
        <w:jc w:val="center"/>
        <w:rPr>
          <w:caps/>
        </w:rPr>
      </w:pPr>
    </w:p>
    <w:p w14:paraId="50EC84DA" w14:textId="77777777" w:rsidR="00136183" w:rsidRDefault="002E1F99" w:rsidP="00136183">
      <w:pPr>
        <w:jc w:val="center"/>
        <w:rPr>
          <w:b/>
          <w:bCs/>
          <w:color w:val="000000"/>
          <w:szCs w:val="24"/>
          <w:shd w:val="clear" w:color="auto" w:fill="FFFFFF"/>
          <w:lang w:val="pt-BR"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136183">
        <w:rPr>
          <w:b/>
          <w:bCs/>
          <w:color w:val="000000"/>
          <w:szCs w:val="24"/>
        </w:rPr>
        <w:t>DĖL</w:t>
      </w:r>
      <w:r w:rsidR="00136183" w:rsidRPr="000E5236">
        <w:rPr>
          <w:b/>
          <w:caps/>
          <w:kern w:val="2"/>
          <w:szCs w:val="24"/>
        </w:rPr>
        <w:t xml:space="preserve"> </w:t>
      </w:r>
      <w:r w:rsidR="00136183">
        <w:rPr>
          <w:b/>
          <w:bCs/>
          <w:color w:val="000000"/>
          <w:szCs w:val="24"/>
          <w:shd w:val="clear" w:color="auto" w:fill="FFFFFF"/>
          <w:lang w:val="pt-BR"/>
        </w:rPr>
        <w:t xml:space="preserve">VALSTYBINĖS ŽEMĖS SKLYPO (UNIKALUS NR. 4400-2314-8629), ESANČIO ADRESU: P. PAULAIČIO G. 11A, JURBARKO MIESTAS, NUOMOS </w:t>
      </w:r>
    </w:p>
    <w:p w14:paraId="1CB17597" w14:textId="77777777" w:rsidR="002E1F99" w:rsidRPr="00136183" w:rsidRDefault="00136183" w:rsidP="00136183">
      <w:pPr>
        <w:jc w:val="center"/>
        <w:rPr>
          <w:b/>
          <w:szCs w:val="26"/>
        </w:rPr>
      </w:pPr>
      <w:r>
        <w:rPr>
          <w:b/>
          <w:bCs/>
          <w:color w:val="000000"/>
          <w:szCs w:val="24"/>
          <w:shd w:val="clear" w:color="auto" w:fill="FFFFFF"/>
          <w:lang w:val="pt-BR"/>
        </w:rPr>
        <w:t>TEISĖS ĮKEITIMO</w:t>
      </w:r>
      <w:r w:rsidR="002E1F99" w:rsidRPr="00FD0852">
        <w:rPr>
          <w:b/>
          <w:szCs w:val="26"/>
        </w:rPr>
        <w:t>“</w:t>
      </w:r>
      <w:r w:rsidR="00031B2B" w:rsidRPr="00031B2B">
        <w:rPr>
          <w:b/>
          <w:szCs w:val="26"/>
        </w:rPr>
        <w:t xml:space="preserve"> </w:t>
      </w:r>
      <w:r w:rsidR="002E1F99">
        <w:rPr>
          <w:b/>
          <w:bCs/>
          <w:caps/>
        </w:rPr>
        <w:t>projekto</w:t>
      </w:r>
    </w:p>
    <w:p w14:paraId="5EF8E5E4" w14:textId="77777777" w:rsidR="002E1F99" w:rsidRDefault="002E1F99" w:rsidP="002E1F99">
      <w:pPr>
        <w:tabs>
          <w:tab w:val="left" w:pos="567"/>
        </w:tabs>
        <w:jc w:val="center"/>
      </w:pPr>
    </w:p>
    <w:p w14:paraId="0D9832F9" w14:textId="77777777" w:rsidR="00001758" w:rsidRDefault="0042074D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birželio 10 d.</w:t>
      </w:r>
      <w:r>
        <w:fldChar w:fldCharType="end"/>
      </w:r>
    </w:p>
    <w:p w14:paraId="22E83773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1A40B12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05DADC2E" w14:textId="77777777" w:rsidTr="00136183">
        <w:tc>
          <w:tcPr>
            <w:tcW w:w="952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9"/>
            </w:tblGrid>
            <w:tr w:rsidR="00136183" w14:paraId="02373063" w14:textId="77777777" w:rsidTr="00001D7D">
              <w:tc>
                <w:tcPr>
                  <w:tcW w:w="9498" w:type="dxa"/>
                </w:tcPr>
                <w:p w14:paraId="4D4998A4" w14:textId="77777777" w:rsidR="00E76B80" w:rsidRPr="00E76B80" w:rsidRDefault="00E76B80" w:rsidP="00E76B80">
                  <w:pPr>
                    <w:jc w:val="both"/>
                    <w:rPr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</w:rPr>
                    <w:t xml:space="preserve">1. </w:t>
                  </w:r>
                  <w:r w:rsidR="00136183" w:rsidRPr="00E76B80">
                    <w:rPr>
                      <w:b/>
                      <w:bCs/>
                      <w:i/>
                      <w:iCs/>
                      <w:sz w:val="22"/>
                    </w:rPr>
                    <w:t xml:space="preserve">Parengto projekto tikslai ir uždaviniai. </w:t>
                  </w:r>
                </w:p>
                <w:p w14:paraId="1B71A306" w14:textId="77777777" w:rsidR="00136183" w:rsidRPr="00E76B80" w:rsidRDefault="00136183" w:rsidP="00E76B80">
                  <w:pPr>
                    <w:jc w:val="both"/>
                    <w:rPr>
                      <w:szCs w:val="24"/>
                    </w:rPr>
                  </w:pPr>
                  <w:r w:rsidRPr="00E76B80">
                    <w:rPr>
                      <w:sz w:val="22"/>
                    </w:rPr>
                    <w:t>Sutikti įkeisti</w:t>
                  </w:r>
                  <w:r w:rsidRPr="00E76B80">
                    <w:rPr>
                      <w:szCs w:val="24"/>
                    </w:rPr>
                    <w:t xml:space="preserve"> 0,7675 ha valstybinės žemės sklypo (kadastro Nr. 9420/0001:383), esančio adresu: P. Paulaičio g. 11A, Jurbarko miestas, reikalingo įkeičiamiems pastatams – pastatas-garažas (unikalus Nr. 9497-1000-7128), kiti inžineriniai statiniai-kiemo statiniai (unikalus Nr. 9497-1000-7395) eksploatuoti, nuomos teisę pagal 2019 m. gegužės 2 d. valstybinės žemės nuomos sutartį Nr. 32SŽN-42-(14.32.62.)</w:t>
                  </w:r>
                  <w:r w:rsidR="00E76B80">
                    <w:rPr>
                      <w:szCs w:val="24"/>
                    </w:rPr>
                    <w:t xml:space="preserve"> </w:t>
                  </w:r>
                  <w:r w:rsidRPr="00E76B80">
                    <w:rPr>
                      <w:szCs w:val="24"/>
                    </w:rPr>
                    <w:t>AB Šiaulių Bankui.</w:t>
                  </w:r>
                </w:p>
                <w:p w14:paraId="7187CFAE" w14:textId="77777777" w:rsidR="00136183" w:rsidRDefault="00136183" w:rsidP="00136183">
                  <w:pPr>
                    <w:jc w:val="both"/>
                  </w:pPr>
                </w:p>
              </w:tc>
            </w:tr>
            <w:tr w:rsidR="00136183" w14:paraId="58725C1E" w14:textId="77777777" w:rsidTr="00001D7D">
              <w:tc>
                <w:tcPr>
                  <w:tcW w:w="9498" w:type="dxa"/>
                </w:tcPr>
                <w:p w14:paraId="1A480847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sz w:val="22"/>
                    </w:rPr>
                  </w:pPr>
                </w:p>
              </w:tc>
            </w:tr>
            <w:tr w:rsidR="00136183" w14:paraId="3C96CC58" w14:textId="77777777" w:rsidTr="00001D7D">
              <w:tc>
                <w:tcPr>
                  <w:tcW w:w="9498" w:type="dxa"/>
                </w:tcPr>
                <w:p w14:paraId="3644D0F4" w14:textId="77777777" w:rsidR="00E76B80" w:rsidRDefault="00136183" w:rsidP="00E76B80">
                  <w:pPr>
                    <w:jc w:val="both"/>
                    <w:rPr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</w:rPr>
                    <w:t xml:space="preserve">2. Kaip šiuo metu yra sureguliuoti projekte aptarti klausimai. </w:t>
                  </w:r>
                </w:p>
                <w:p w14:paraId="0910E341" w14:textId="77777777" w:rsidR="00136183" w:rsidRPr="00136183" w:rsidRDefault="00136183" w:rsidP="00E76B80">
                  <w:pPr>
                    <w:jc w:val="both"/>
                    <w:rPr>
                      <w:szCs w:val="24"/>
                    </w:rPr>
                  </w:pPr>
                  <w:r w:rsidRPr="000E5236">
                    <w:rPr>
                      <w:rFonts w:eastAsia="Calibri"/>
                      <w:color w:val="000000"/>
                      <w:kern w:val="2"/>
                      <w:szCs w:val="24"/>
                    </w:rPr>
                    <w:t>Nuo 2024 m sausio 2 d. pagal</w:t>
                  </w:r>
                  <w:r w:rsidRPr="000E5236">
                    <w:rPr>
                      <w:rFonts w:eastAsia="Calibri"/>
                      <w:kern w:val="2"/>
                      <w:szCs w:val="24"/>
                    </w:rPr>
                    <w:t xml:space="preserve"> Lietuvos Respublikos vietos savivaldos įstatymą išimtinė savivaldybės tarybos kompetencija yra </w:t>
                  </w:r>
                  <w:r w:rsidRPr="000E5236">
                    <w:rPr>
                      <w:rFonts w:eastAsia="Calibri"/>
                      <w:color w:val="000000"/>
                      <w:kern w:val="2"/>
                      <w:szCs w:val="24"/>
                    </w:rPr>
                    <w:t xml:space="preserve"> sprendimų dėl savivaldybei patikėjimo teise perduotos valstybinės žemės valdymo, naudojimo ir disponavimo ja. Vadovau</w:t>
                  </w:r>
                  <w:r w:rsidR="00CB470D" w:rsidRPr="000E5236">
                    <w:rPr>
                      <w:rFonts w:eastAsia="Calibri"/>
                      <w:color w:val="000000"/>
                      <w:kern w:val="2"/>
                      <w:szCs w:val="24"/>
                    </w:rPr>
                    <w:t>jamasi</w:t>
                  </w:r>
                  <w:r w:rsidR="006A396A">
                    <w:rPr>
                      <w:szCs w:val="24"/>
                    </w:rPr>
                    <w:t xml:space="preserve"> Lietuvos Respublikos vietos savivaldos įstatymo 15 straipsnio 2 dalies 20 punktu, 63 straipsnio 4 dalimi, Lietuvos Respublikos žemės įstatymo 7 straipsnio 1 dalies 2 punktu</w:t>
                  </w:r>
                  <w:r w:rsidR="00CB470D">
                    <w:rPr>
                      <w:szCs w:val="24"/>
                    </w:rPr>
                    <w:t xml:space="preserve"> ir</w:t>
                  </w:r>
                  <w:r w:rsidR="006A396A">
                    <w:rPr>
                      <w:szCs w:val="24"/>
                    </w:rPr>
                    <w:t xml:space="preserve"> įgyvendindama</w:t>
                  </w:r>
                  <w:r w:rsidR="00CB470D">
                    <w:rPr>
                      <w:szCs w:val="24"/>
                    </w:rPr>
                    <w:t xml:space="preserve"> pagal</w:t>
                  </w:r>
                  <w:r w:rsidR="006A396A">
                    <w:rPr>
                      <w:szCs w:val="24"/>
                    </w:rPr>
                    <w:t xml:space="preserve"> Naudojamų kitos paskirties valstybinės žemės sklypų pardavimo ir nuomos taisyklių, patvirtintų Lietuvos Respublikos Vyriausybės 1999 m. kovo 9 d. nutarimu Nr. 260 „</w:t>
                  </w:r>
                  <w:r w:rsidR="006A396A" w:rsidRPr="006A396A">
                    <w:rPr>
                      <w:szCs w:val="24"/>
                    </w:rPr>
                    <w:t>Dėl kitos paskirties valstybinės žemės sklypų pardavimo ir nuomos taisyklių patvirtinimo“, 54</w:t>
                  </w:r>
                  <w:r w:rsidR="006A396A" w:rsidRPr="00FD7E43">
                    <w:rPr>
                      <w:b/>
                      <w:bCs/>
                      <w:szCs w:val="24"/>
                    </w:rPr>
                    <w:t xml:space="preserve"> </w:t>
                  </w:r>
                  <w:r w:rsidR="006A396A">
                    <w:rPr>
                      <w:szCs w:val="24"/>
                    </w:rPr>
                    <w:t>punkt</w:t>
                  </w:r>
                  <w:r w:rsidR="00CB470D">
                    <w:rPr>
                      <w:szCs w:val="24"/>
                    </w:rPr>
                    <w:t>ą</w:t>
                  </w:r>
                  <w:r w:rsidR="006A396A">
                    <w:rPr>
                      <w:szCs w:val="24"/>
                    </w:rPr>
                    <w:t>.</w:t>
                  </w:r>
                </w:p>
                <w:p w14:paraId="67EAFA72" w14:textId="77777777" w:rsidR="00136183" w:rsidRDefault="00136183" w:rsidP="006A396A">
                  <w:pPr>
                    <w:ind w:firstLine="851"/>
                    <w:jc w:val="both"/>
                    <w:rPr>
                      <w:szCs w:val="24"/>
                    </w:rPr>
                  </w:pPr>
                </w:p>
              </w:tc>
            </w:tr>
            <w:tr w:rsidR="00136183" w14:paraId="6A137DBA" w14:textId="77777777" w:rsidTr="00001D7D">
              <w:tc>
                <w:tcPr>
                  <w:tcW w:w="9498" w:type="dxa"/>
                </w:tcPr>
                <w:p w14:paraId="002A1926" w14:textId="77777777" w:rsidR="00136183" w:rsidRDefault="00136183" w:rsidP="00136183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136183" w14:paraId="634D2F80" w14:textId="77777777" w:rsidTr="00001D7D">
              <w:tc>
                <w:tcPr>
                  <w:tcW w:w="9498" w:type="dxa"/>
                </w:tcPr>
                <w:p w14:paraId="08CB27E2" w14:textId="77777777" w:rsidR="00E76B80" w:rsidRDefault="00136183" w:rsidP="00136183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</w:rPr>
                    <w:t xml:space="preserve">3. Kokių pozityvių rezultatų laukiama. </w:t>
                  </w:r>
                </w:p>
                <w:p w14:paraId="74C5CCC2" w14:textId="77777777" w:rsidR="00136183" w:rsidRDefault="00136183" w:rsidP="00136183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sz w:val="22"/>
                    </w:rPr>
                    <w:t>Nėra</w:t>
                  </w:r>
                </w:p>
              </w:tc>
            </w:tr>
            <w:tr w:rsidR="00136183" w14:paraId="3FC2F608" w14:textId="77777777" w:rsidTr="00001D7D">
              <w:tc>
                <w:tcPr>
                  <w:tcW w:w="9498" w:type="dxa"/>
                </w:tcPr>
                <w:p w14:paraId="2324399D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sz w:val="22"/>
                    </w:rPr>
                  </w:pPr>
                </w:p>
              </w:tc>
            </w:tr>
            <w:tr w:rsidR="00136183" w14:paraId="3B6DF6DA" w14:textId="77777777" w:rsidTr="00001D7D">
              <w:tc>
                <w:tcPr>
                  <w:tcW w:w="9498" w:type="dxa"/>
                </w:tcPr>
                <w:p w14:paraId="35655B03" w14:textId="77777777" w:rsidR="00E76B80" w:rsidRDefault="00136183" w:rsidP="00136183">
                  <w:pPr>
                    <w:tabs>
                      <w:tab w:val="left" w:pos="0"/>
                    </w:tabs>
                    <w:ind w:firstLine="720"/>
                    <w:jc w:val="both"/>
                    <w:rPr>
                      <w:sz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</w:rPr>
                    <w:t>4. Galimos neigiamos priimto projekto pasekmės ir kokių priemonių reikėtų imtis, kad tokių pasekmių būtų išvengta</w:t>
                  </w:r>
                  <w:r w:rsidRPr="00FA336C">
                    <w:rPr>
                      <w:sz w:val="22"/>
                    </w:rPr>
                    <w:t xml:space="preserve">.  </w:t>
                  </w:r>
                </w:p>
                <w:p w14:paraId="0C614E38" w14:textId="77777777" w:rsidR="00136183" w:rsidRDefault="00136183" w:rsidP="00E76B80">
                  <w:pPr>
                    <w:tabs>
                      <w:tab w:val="left" w:pos="0"/>
                    </w:tabs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Kadangi žemės sklypą Savivaldybė valdo patikėjimo teise, todėl sprendimą įkeisti nuomos teisę į valstybinės žemės sklypą turėtų priimti Savivaldybės taryba.</w:t>
                  </w:r>
                </w:p>
                <w:p w14:paraId="0C0282CE" w14:textId="77777777" w:rsidR="006A396A" w:rsidRPr="00FD7E43" w:rsidRDefault="00136183" w:rsidP="00E76B80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szCs w:val="24"/>
                    </w:rPr>
                    <w:t>Savivaldybės tarybai priėmus Projektą, UAB „</w:t>
                  </w:r>
                  <w:proofErr w:type="spellStart"/>
                  <w:r>
                    <w:rPr>
                      <w:szCs w:val="24"/>
                    </w:rPr>
                    <w:t>Automagas</w:t>
                  </w:r>
                  <w:proofErr w:type="spellEnd"/>
                  <w:r>
                    <w:rPr>
                      <w:szCs w:val="24"/>
                    </w:rPr>
                    <w:t>“ AB Šiaulių bankui galės įkeisti valstybinės žemės sklyp</w:t>
                  </w:r>
                  <w:r w:rsidR="00CB470D">
                    <w:rPr>
                      <w:szCs w:val="24"/>
                    </w:rPr>
                    <w:t>o</w:t>
                  </w:r>
                  <w:r>
                    <w:rPr>
                      <w:szCs w:val="24"/>
                    </w:rPr>
                    <w:t xml:space="preserve"> (kadastro Nr. 9420/0001:383), esančio adresu: P. Paulaičio g. 11A, Jurbarko miesta</w:t>
                  </w:r>
                  <w:r w:rsidR="00CB470D">
                    <w:rPr>
                      <w:szCs w:val="24"/>
                    </w:rPr>
                    <w:t xml:space="preserve">s ir </w:t>
                  </w:r>
                  <w:r>
                    <w:rPr>
                      <w:szCs w:val="24"/>
                    </w:rPr>
                    <w:t>reikalingo įkeičiamiems pastatams – pastat</w:t>
                  </w:r>
                  <w:r w:rsidR="00CB470D">
                    <w:rPr>
                      <w:szCs w:val="24"/>
                    </w:rPr>
                    <w:t>ui</w:t>
                  </w:r>
                  <w:r>
                    <w:rPr>
                      <w:szCs w:val="24"/>
                    </w:rPr>
                    <w:t>-garaž</w:t>
                  </w:r>
                  <w:r w:rsidR="00CB470D">
                    <w:rPr>
                      <w:szCs w:val="24"/>
                    </w:rPr>
                    <w:t>ui</w:t>
                  </w:r>
                  <w:r>
                    <w:rPr>
                      <w:szCs w:val="24"/>
                    </w:rPr>
                    <w:t xml:space="preserve"> </w:t>
                  </w:r>
                  <w:r w:rsidR="00E76B80">
                    <w:rPr>
                      <w:szCs w:val="24"/>
                    </w:rPr>
                    <w:br/>
                  </w:r>
                  <w:r>
                    <w:rPr>
                      <w:szCs w:val="24"/>
                    </w:rPr>
                    <w:t>(unikalus Nr. 9497-1000-7128), kiti</w:t>
                  </w:r>
                  <w:r w:rsidR="00DB3802">
                    <w:rPr>
                      <w:szCs w:val="24"/>
                    </w:rPr>
                    <w:t>ems</w:t>
                  </w:r>
                  <w:r>
                    <w:rPr>
                      <w:szCs w:val="24"/>
                    </w:rPr>
                    <w:t xml:space="preserve"> inžinerinia</w:t>
                  </w:r>
                  <w:r w:rsidR="00DB3802">
                    <w:rPr>
                      <w:szCs w:val="24"/>
                    </w:rPr>
                    <w:t>ms</w:t>
                  </w:r>
                  <w:r>
                    <w:rPr>
                      <w:szCs w:val="24"/>
                    </w:rPr>
                    <w:t xml:space="preserve"> statinia</w:t>
                  </w:r>
                  <w:r w:rsidR="00DB3802">
                    <w:rPr>
                      <w:szCs w:val="24"/>
                    </w:rPr>
                    <w:t>ms</w:t>
                  </w:r>
                  <w:r>
                    <w:rPr>
                      <w:szCs w:val="24"/>
                    </w:rPr>
                    <w:t>-kiemo statinia</w:t>
                  </w:r>
                  <w:r w:rsidR="00DB3802">
                    <w:rPr>
                      <w:szCs w:val="24"/>
                    </w:rPr>
                    <w:t>ms</w:t>
                  </w:r>
                  <w:r w:rsidR="00DB3802">
                    <w:rPr>
                      <w:szCs w:val="24"/>
                    </w:rPr>
                    <w:br/>
                  </w:r>
                  <w:r>
                    <w:rPr>
                      <w:szCs w:val="24"/>
                    </w:rPr>
                    <w:t>(unikalus Nr. 9497-1000-7395) eksploatuoti, nuomos teisę</w:t>
                  </w:r>
                  <w:r w:rsidR="00DB3802">
                    <w:rPr>
                      <w:szCs w:val="24"/>
                    </w:rPr>
                    <w:t>. K</w:t>
                  </w:r>
                  <w:r>
                    <w:rPr>
                      <w:szCs w:val="24"/>
                    </w:rPr>
                    <w:t>artu bus įkeičiami šio UAB „</w:t>
                  </w:r>
                  <w:proofErr w:type="spellStart"/>
                  <w:r>
                    <w:rPr>
                      <w:szCs w:val="24"/>
                    </w:rPr>
                    <w:t>Automagas</w:t>
                  </w:r>
                  <w:proofErr w:type="spellEnd"/>
                  <w:r>
                    <w:rPr>
                      <w:szCs w:val="24"/>
                    </w:rPr>
                    <w:t>“ nuosavybės teise priklausantys pastatai ir statiniai</w:t>
                  </w:r>
                  <w:r w:rsidR="00DB3802">
                    <w:rPr>
                      <w:szCs w:val="24"/>
                    </w:rPr>
                    <w:t>.</w:t>
                  </w:r>
                  <w:r w:rsidR="006A396A">
                    <w:rPr>
                      <w:szCs w:val="24"/>
                    </w:rPr>
                    <w:t xml:space="preserve"> </w:t>
                  </w:r>
                  <w:r w:rsidR="00DB3802">
                    <w:rPr>
                      <w:szCs w:val="24"/>
                    </w:rPr>
                    <w:t>S</w:t>
                  </w:r>
                  <w:r w:rsidR="006A396A" w:rsidRPr="006A396A">
                    <w:rPr>
                      <w:color w:val="000000"/>
                      <w:shd w:val="clear" w:color="auto" w:fill="FFFFFF"/>
                    </w:rPr>
                    <w:t>utikimas įkeisti žemės sklypo nuomos teisę išduodamas ne ilgesniam kaip 3 mėnesių terminui nuo šio sprendimo priėmimo dienos</w:t>
                  </w:r>
                  <w:r w:rsidR="006A396A" w:rsidRPr="00FD7E43">
                    <w:rPr>
                      <w:b/>
                      <w:bCs/>
                      <w:color w:val="000000"/>
                      <w:shd w:val="clear" w:color="auto" w:fill="FFFFFF"/>
                    </w:rPr>
                    <w:t>.</w:t>
                  </w:r>
                </w:p>
                <w:p w14:paraId="5760BEC0" w14:textId="77777777" w:rsidR="00136183" w:rsidRDefault="00136183" w:rsidP="00136183">
                  <w:pPr>
                    <w:ind w:firstLine="851"/>
                    <w:jc w:val="both"/>
                  </w:pPr>
                </w:p>
                <w:p w14:paraId="3582A225" w14:textId="77777777" w:rsidR="00E76B80" w:rsidRDefault="00E76B80" w:rsidP="00136183">
                  <w:pPr>
                    <w:ind w:firstLine="851"/>
                    <w:jc w:val="both"/>
                  </w:pPr>
                </w:p>
                <w:p w14:paraId="6F932979" w14:textId="77777777" w:rsidR="00E76B80" w:rsidRDefault="00E76B80" w:rsidP="00136183">
                  <w:pPr>
                    <w:ind w:firstLine="851"/>
                    <w:jc w:val="both"/>
                  </w:pPr>
                </w:p>
                <w:p w14:paraId="7BAB0475" w14:textId="77777777" w:rsidR="00E76B80" w:rsidRDefault="00E76B80" w:rsidP="00136183">
                  <w:pPr>
                    <w:ind w:firstLine="851"/>
                    <w:jc w:val="both"/>
                  </w:pPr>
                </w:p>
                <w:p w14:paraId="6AD7064B" w14:textId="77777777" w:rsidR="00E76B80" w:rsidRDefault="00DB3802" w:rsidP="00E76B80">
                  <w:pPr>
                    <w:widowControl w:val="0"/>
                    <w:suppressAutoHyphens/>
                    <w:jc w:val="both"/>
                    <w:rPr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</w:rPr>
                    <w:t xml:space="preserve">5. Kokie šios srities aktai tebegalioja (pateikiamas aktų sąrašas) ir kokius galiojančius aktus būtina pakeisti ar panaikinti, priėmus teikiamą projektą. </w:t>
                  </w:r>
                </w:p>
                <w:p w14:paraId="56196CF2" w14:textId="77777777" w:rsidR="00DB3802" w:rsidRDefault="00DB3802" w:rsidP="00E76B80">
                  <w:pPr>
                    <w:widowControl w:val="0"/>
                    <w:suppressAutoHyphens/>
                    <w:jc w:val="both"/>
                    <w:rPr>
                      <w:rFonts w:eastAsia="Lucida Sans Unicode"/>
                      <w:kern w:val="1"/>
                      <w:szCs w:val="24"/>
                    </w:rPr>
                  </w:pPr>
                  <w:r>
                    <w:rPr>
                      <w:rFonts w:eastAsia="Lucida Sans Unicode"/>
                      <w:kern w:val="1"/>
                      <w:szCs w:val="24"/>
                    </w:rPr>
                    <w:t>Priėmus sprendimą, teisės aktai nekeičiami ir nepripažįstami negaliojančiais</w:t>
                  </w:r>
                </w:p>
                <w:p w14:paraId="287569F0" w14:textId="77777777" w:rsidR="00136183" w:rsidRDefault="00136183" w:rsidP="00136183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  <w:sz w:val="22"/>
                    </w:rPr>
                  </w:pPr>
                </w:p>
              </w:tc>
            </w:tr>
            <w:tr w:rsidR="00136183" w14:paraId="1D0D702B" w14:textId="77777777" w:rsidTr="00001D7D">
              <w:tc>
                <w:tcPr>
                  <w:tcW w:w="9498" w:type="dxa"/>
                </w:tcPr>
                <w:p w14:paraId="04A3DACC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sz w:val="20"/>
                    </w:rPr>
                  </w:pPr>
                </w:p>
              </w:tc>
            </w:tr>
            <w:tr w:rsidR="00136183" w14:paraId="18603C79" w14:textId="77777777" w:rsidTr="00001D7D">
              <w:tc>
                <w:tcPr>
                  <w:tcW w:w="9498" w:type="dxa"/>
                </w:tcPr>
                <w:p w14:paraId="2794F3F8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b/>
                      <w:bCs/>
                      <w:i/>
                      <w:iCs/>
                      <w:sz w:val="22"/>
                    </w:rPr>
                  </w:pPr>
                </w:p>
              </w:tc>
            </w:tr>
            <w:tr w:rsidR="00136183" w14:paraId="00FD00A2" w14:textId="77777777" w:rsidTr="00001D7D">
              <w:tc>
                <w:tcPr>
                  <w:tcW w:w="9498" w:type="dxa"/>
                </w:tcPr>
                <w:p w14:paraId="3EFCBD75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sz w:val="22"/>
                    </w:rPr>
                  </w:pPr>
                </w:p>
              </w:tc>
            </w:tr>
            <w:tr w:rsidR="00136183" w14:paraId="635BB9EF" w14:textId="77777777" w:rsidTr="00001D7D">
              <w:tc>
                <w:tcPr>
                  <w:tcW w:w="9498" w:type="dxa"/>
                </w:tcPr>
                <w:p w14:paraId="050DF323" w14:textId="77777777" w:rsidR="00E76B80" w:rsidRDefault="00136183" w:rsidP="00136183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</w:rPr>
                    <w:t xml:space="preserve">6. Projekto rengimo metu gauti specialistų vertinimai ir išvados, ekonominiai apskaičiavimai (sąmatos), konkretūs finansavimo šaltiniai. </w:t>
                  </w:r>
                </w:p>
                <w:p w14:paraId="0335469C" w14:textId="77777777" w:rsidR="00136183" w:rsidRDefault="00136183" w:rsidP="00136183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sz w:val="22"/>
                    </w:rPr>
                    <w:t>Nėra</w:t>
                  </w:r>
                </w:p>
                <w:p w14:paraId="2DE272D2" w14:textId="77777777" w:rsidR="00136183" w:rsidRDefault="00136183" w:rsidP="00136183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  <w:sz w:val="22"/>
                    </w:rPr>
                  </w:pPr>
                </w:p>
              </w:tc>
            </w:tr>
            <w:tr w:rsidR="00136183" w14:paraId="7DF876F8" w14:textId="77777777" w:rsidTr="00001D7D">
              <w:tc>
                <w:tcPr>
                  <w:tcW w:w="9498" w:type="dxa"/>
                </w:tcPr>
                <w:p w14:paraId="50F8E475" w14:textId="77777777" w:rsidR="00E76B80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 xml:space="preserve">7. Ar reikalingas projekto antikorupcinis vertinimas. </w:t>
                  </w:r>
                </w:p>
                <w:p w14:paraId="77614626" w14:textId="77777777" w:rsidR="00136183" w:rsidRPr="00F44B02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bCs/>
                      <w:iCs/>
                      <w:sz w:val="22"/>
                    </w:rPr>
                  </w:pPr>
                  <w:r w:rsidRPr="00F44B02">
                    <w:rPr>
                      <w:bCs/>
                      <w:iCs/>
                      <w:sz w:val="22"/>
                    </w:rPr>
                    <w:t>Pridedama</w:t>
                  </w:r>
                </w:p>
                <w:p w14:paraId="69CD245A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sz w:val="22"/>
                    </w:rPr>
                  </w:pPr>
                </w:p>
              </w:tc>
            </w:tr>
            <w:tr w:rsidR="00136183" w14:paraId="24465944" w14:textId="77777777" w:rsidTr="00001D7D">
              <w:tc>
                <w:tcPr>
                  <w:tcW w:w="9498" w:type="dxa"/>
                </w:tcPr>
                <w:p w14:paraId="3FF905F9" w14:textId="77777777" w:rsidR="00136183" w:rsidRDefault="00136183" w:rsidP="00136183">
                  <w:r>
                    <w:rPr>
                      <w:b/>
                      <w:i/>
                      <w:sz w:val="22"/>
                    </w:rPr>
                    <w:t xml:space="preserve">8. Projekto iniciatorius, autorius ar autorių grupė. </w:t>
                  </w:r>
                </w:p>
                <w:p w14:paraId="4F67014A" w14:textId="77777777" w:rsidR="00136183" w:rsidRDefault="00136183" w:rsidP="00E76B80">
                  <w:r>
                    <w:t>Iniciatorius – UAB „</w:t>
                  </w:r>
                  <w:proofErr w:type="spellStart"/>
                  <w:r>
                    <w:t>Automagas</w:t>
                  </w:r>
                  <w:proofErr w:type="spellEnd"/>
                  <w:r>
                    <w:t>“</w:t>
                  </w:r>
                </w:p>
                <w:p w14:paraId="3DA959F0" w14:textId="77777777" w:rsidR="00136183" w:rsidRDefault="00136183" w:rsidP="00E76B80">
                  <w:pPr>
                    <w:jc w:val="both"/>
                  </w:pPr>
                  <w:r>
                    <w:t xml:space="preserve">Rengėjas </w:t>
                  </w:r>
                  <w:r w:rsidR="00DB3802">
                    <w:softHyphen/>
                  </w:r>
                  <w:r>
                    <w:t xml:space="preserve"> Infrastruktūros ir turto skyrius</w:t>
                  </w:r>
                </w:p>
                <w:p w14:paraId="24EC0ECD" w14:textId="77777777" w:rsidR="00E76B80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9. Kiti autorių nuomone, reikalingi pagrindimai ir paaiškinimai. </w:t>
                  </w:r>
                </w:p>
                <w:p w14:paraId="0F00944F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bCs/>
                      <w:iCs/>
                      <w:sz w:val="22"/>
                    </w:rPr>
                  </w:pPr>
                  <w:r>
                    <w:t>Nėra</w:t>
                  </w:r>
                </w:p>
              </w:tc>
            </w:tr>
            <w:tr w:rsidR="00136183" w14:paraId="2E075F07" w14:textId="77777777" w:rsidTr="00001D7D">
              <w:tc>
                <w:tcPr>
                  <w:tcW w:w="9498" w:type="dxa"/>
                </w:tcPr>
                <w:p w14:paraId="39DB52E1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sz w:val="22"/>
                    </w:rPr>
                  </w:pPr>
                </w:p>
              </w:tc>
            </w:tr>
            <w:tr w:rsidR="00136183" w14:paraId="7E900EE4" w14:textId="77777777" w:rsidTr="00001D7D">
              <w:tc>
                <w:tcPr>
                  <w:tcW w:w="9498" w:type="dxa"/>
                </w:tcPr>
                <w:p w14:paraId="6BD5487C" w14:textId="77777777" w:rsidR="00E76B80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 xml:space="preserve">10. Sprendimas įteikiamas (kam ir kiek egz.). </w:t>
                  </w:r>
                </w:p>
                <w:p w14:paraId="704ABF0B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  <w:sz w:val="22"/>
                    </w:rPr>
                  </w:pPr>
                  <w:r w:rsidRPr="00A20039">
                    <w:rPr>
                      <w:bCs/>
                      <w:iCs/>
                      <w:sz w:val="22"/>
                    </w:rPr>
                    <w:t xml:space="preserve">Infrastruktūros ir </w:t>
                  </w:r>
                  <w:r>
                    <w:rPr>
                      <w:bCs/>
                      <w:iCs/>
                      <w:sz w:val="22"/>
                    </w:rPr>
                    <w:t>turto</w:t>
                  </w:r>
                  <w:r w:rsidRPr="00A20039">
                    <w:rPr>
                      <w:bCs/>
                      <w:iCs/>
                      <w:sz w:val="22"/>
                    </w:rPr>
                    <w:t xml:space="preserve"> skyriui, </w:t>
                  </w:r>
                  <w:r>
                    <w:t>UAB „</w:t>
                  </w:r>
                  <w:proofErr w:type="spellStart"/>
                  <w:r>
                    <w:t>Automagas</w:t>
                  </w:r>
                  <w:proofErr w:type="spellEnd"/>
                  <w:r>
                    <w:t>“</w:t>
                  </w:r>
                </w:p>
              </w:tc>
            </w:tr>
            <w:tr w:rsidR="00136183" w14:paraId="24ADBC8E" w14:textId="77777777" w:rsidTr="00001D7D">
              <w:tc>
                <w:tcPr>
                  <w:tcW w:w="9498" w:type="dxa"/>
                </w:tcPr>
                <w:p w14:paraId="77983171" w14:textId="77777777" w:rsidR="00136183" w:rsidRDefault="00136183" w:rsidP="00136183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  <w:sz w:val="22"/>
                    </w:rPr>
                  </w:pPr>
                </w:p>
              </w:tc>
            </w:tr>
          </w:tbl>
          <w:p w14:paraId="38275AD8" w14:textId="77777777" w:rsidR="00136183" w:rsidRDefault="00136183" w:rsidP="00136183"/>
          <w:p w14:paraId="58D4E057" w14:textId="77777777" w:rsidR="00136183" w:rsidRDefault="00136183" w:rsidP="00136183"/>
          <w:p w14:paraId="79AF5B91" w14:textId="77777777" w:rsidR="00136183" w:rsidRDefault="00136183" w:rsidP="00136183"/>
          <w:p w14:paraId="5758D471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</w:p>
        </w:tc>
      </w:tr>
      <w:tr w:rsidR="006A29E6" w14:paraId="2A1C2196" w14:textId="77777777" w:rsidTr="00136183">
        <w:tc>
          <w:tcPr>
            <w:tcW w:w="9525" w:type="dxa"/>
          </w:tcPr>
          <w:p w14:paraId="383D7E1E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2710F01E" w14:textId="77777777" w:rsidTr="00136183">
        <w:tc>
          <w:tcPr>
            <w:tcW w:w="9525" w:type="dxa"/>
          </w:tcPr>
          <w:p w14:paraId="1441456C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</w:p>
        </w:tc>
      </w:tr>
      <w:tr w:rsidR="006A29E6" w14:paraId="3BA76A05" w14:textId="77777777" w:rsidTr="00136183">
        <w:tc>
          <w:tcPr>
            <w:tcW w:w="9525" w:type="dxa"/>
          </w:tcPr>
          <w:p w14:paraId="4FD864FF" w14:textId="77777777" w:rsidR="006A29E6" w:rsidRDefault="006A29E6" w:rsidP="007371F4">
            <w:pPr>
              <w:jc w:val="both"/>
              <w:rPr>
                <w:sz w:val="22"/>
              </w:rPr>
            </w:pPr>
          </w:p>
        </w:tc>
      </w:tr>
      <w:tr w:rsidR="006A29E6" w14:paraId="7AD11E92" w14:textId="77777777" w:rsidTr="00136183">
        <w:tc>
          <w:tcPr>
            <w:tcW w:w="9525" w:type="dxa"/>
          </w:tcPr>
          <w:p w14:paraId="209B246D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5428ADC1" w14:textId="77777777" w:rsidTr="00136183">
        <w:tc>
          <w:tcPr>
            <w:tcW w:w="9525" w:type="dxa"/>
          </w:tcPr>
          <w:p w14:paraId="438EB0FD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5CBD575F" w14:textId="77777777" w:rsidTr="00136183">
        <w:tc>
          <w:tcPr>
            <w:tcW w:w="9525" w:type="dxa"/>
          </w:tcPr>
          <w:p w14:paraId="379EA8C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7B9E00ED" w14:textId="77777777" w:rsidTr="00136183">
        <w:tc>
          <w:tcPr>
            <w:tcW w:w="9525" w:type="dxa"/>
          </w:tcPr>
          <w:p w14:paraId="66CDAE20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</w:p>
        </w:tc>
      </w:tr>
      <w:tr w:rsidR="006A29E6" w14:paraId="621C89C9" w14:textId="77777777" w:rsidTr="00136183">
        <w:tc>
          <w:tcPr>
            <w:tcW w:w="9525" w:type="dxa"/>
          </w:tcPr>
          <w:p w14:paraId="7796753C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3095B400" w14:textId="77777777" w:rsidTr="00136183">
        <w:tc>
          <w:tcPr>
            <w:tcW w:w="9525" w:type="dxa"/>
          </w:tcPr>
          <w:p w14:paraId="7BDEE21F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4E7C32C7" w14:textId="77777777" w:rsidTr="00136183">
        <w:tc>
          <w:tcPr>
            <w:tcW w:w="9525" w:type="dxa"/>
          </w:tcPr>
          <w:p w14:paraId="7A273DD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6D7C288A" w14:textId="77777777" w:rsidTr="00136183">
        <w:tc>
          <w:tcPr>
            <w:tcW w:w="9525" w:type="dxa"/>
          </w:tcPr>
          <w:p w14:paraId="0DB4D5D6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6AD4B987" w14:textId="77777777" w:rsidTr="00136183">
        <w:tc>
          <w:tcPr>
            <w:tcW w:w="9525" w:type="dxa"/>
          </w:tcPr>
          <w:p w14:paraId="4F2C2002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6A29E6" w14:paraId="54D088BF" w14:textId="77777777" w:rsidTr="00136183">
        <w:tc>
          <w:tcPr>
            <w:tcW w:w="9525" w:type="dxa"/>
          </w:tcPr>
          <w:p w14:paraId="7DDE50D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253F3FBE" w14:textId="77777777" w:rsidTr="00136183">
        <w:tc>
          <w:tcPr>
            <w:tcW w:w="9525" w:type="dxa"/>
          </w:tcPr>
          <w:p w14:paraId="5F1AE139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0C76F1BD" w14:textId="77777777" w:rsidTr="00136183">
        <w:tc>
          <w:tcPr>
            <w:tcW w:w="9525" w:type="dxa"/>
          </w:tcPr>
          <w:p w14:paraId="067D356B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6A29E6" w14:paraId="76110FB2" w14:textId="77777777" w:rsidTr="00136183">
        <w:tc>
          <w:tcPr>
            <w:tcW w:w="9525" w:type="dxa"/>
          </w:tcPr>
          <w:p w14:paraId="4A24850D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079426EA" w14:textId="77777777" w:rsidR="006A396A" w:rsidRDefault="006A396A" w:rsidP="002E1F99">
      <w:pPr>
        <w:tabs>
          <w:tab w:val="left" w:pos="567"/>
        </w:tabs>
      </w:pPr>
    </w:p>
    <w:p w14:paraId="59A58D3D" w14:textId="77777777" w:rsidR="006A396A" w:rsidRDefault="006A396A" w:rsidP="002E1F99">
      <w:pPr>
        <w:tabs>
          <w:tab w:val="left" w:pos="567"/>
        </w:tabs>
      </w:pPr>
    </w:p>
    <w:p w14:paraId="3F2839C6" w14:textId="77777777" w:rsidR="002E1F99" w:rsidRDefault="002E1F99" w:rsidP="002E1F99">
      <w:pPr>
        <w:tabs>
          <w:tab w:val="left" w:pos="567"/>
        </w:tabs>
      </w:pPr>
    </w:p>
    <w:p w14:paraId="053D27E4" w14:textId="77777777" w:rsidR="00B668F0" w:rsidRDefault="00B668F0" w:rsidP="00B668F0">
      <w:r>
        <w:t>Parengė</w:t>
      </w:r>
    </w:p>
    <w:p w14:paraId="163009D5" w14:textId="77777777" w:rsidR="00B668F0" w:rsidRDefault="00B668F0" w:rsidP="00B668F0"/>
    <w:p w14:paraId="4BF5E61A" w14:textId="77777777" w:rsidR="00B668F0" w:rsidRDefault="0013618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Saulius Lapėnas</w:t>
      </w:r>
    </w:p>
    <w:p w14:paraId="3389565A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36C28B8B" w14:textId="77777777" w:rsidR="00B668F0" w:rsidRDefault="0042074D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2024-06-10</w:t>
      </w:r>
      <w:r>
        <w:rPr>
          <w:noProof/>
        </w:rPr>
        <w:fldChar w:fldCharType="end"/>
      </w:r>
    </w:p>
    <w:p w14:paraId="60702CF5" w14:textId="77777777" w:rsidR="006A29E6" w:rsidRDefault="006A29E6" w:rsidP="00B668F0"/>
    <w:sectPr w:rsidR="006A29E6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F5800" w14:textId="77777777" w:rsidR="00844374" w:rsidRDefault="00844374">
      <w:r>
        <w:separator/>
      </w:r>
    </w:p>
  </w:endnote>
  <w:endnote w:type="continuationSeparator" w:id="0">
    <w:p w14:paraId="2BD87F84" w14:textId="77777777" w:rsidR="00844374" w:rsidRDefault="0084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34D1F" w14:textId="77777777" w:rsidR="00844374" w:rsidRDefault="00844374">
      <w:r>
        <w:separator/>
      </w:r>
    </w:p>
  </w:footnote>
  <w:footnote w:type="continuationSeparator" w:id="0">
    <w:p w14:paraId="1B63183B" w14:textId="77777777" w:rsidR="00844374" w:rsidRDefault="0084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DC828" w14:textId="77777777" w:rsidR="00FC1CD3" w:rsidRDefault="0042074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B46C11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A6218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3F820E8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55984"/>
    <w:multiLevelType w:val="hybridMultilevel"/>
    <w:tmpl w:val="CE3A1F00"/>
    <w:lvl w:ilvl="0" w:tplc="422039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695427253">
    <w:abstractNumId w:val="4"/>
  </w:num>
  <w:num w:numId="2" w16cid:durableId="1909726399">
    <w:abstractNumId w:val="2"/>
  </w:num>
  <w:num w:numId="3" w16cid:durableId="851648093">
    <w:abstractNumId w:val="5"/>
  </w:num>
  <w:num w:numId="4" w16cid:durableId="153616429">
    <w:abstractNumId w:val="1"/>
  </w:num>
  <w:num w:numId="5" w16cid:durableId="2096511783">
    <w:abstractNumId w:val="7"/>
  </w:num>
  <w:num w:numId="6" w16cid:durableId="1744639619">
    <w:abstractNumId w:val="6"/>
  </w:num>
  <w:num w:numId="7" w16cid:durableId="1966740159">
    <w:abstractNumId w:val="0"/>
  </w:num>
  <w:num w:numId="8" w16cid:durableId="1928225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35CB"/>
    <w:rsid w:val="000258A2"/>
    <w:rsid w:val="00031B2B"/>
    <w:rsid w:val="00033A70"/>
    <w:rsid w:val="0003441C"/>
    <w:rsid w:val="00055DFF"/>
    <w:rsid w:val="00073ECC"/>
    <w:rsid w:val="00076A1D"/>
    <w:rsid w:val="000773EB"/>
    <w:rsid w:val="00085739"/>
    <w:rsid w:val="000E1F44"/>
    <w:rsid w:val="000E5236"/>
    <w:rsid w:val="0010176C"/>
    <w:rsid w:val="00107C26"/>
    <w:rsid w:val="00117349"/>
    <w:rsid w:val="00124B53"/>
    <w:rsid w:val="0013367C"/>
    <w:rsid w:val="00136183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C2C44"/>
    <w:rsid w:val="001D4EA6"/>
    <w:rsid w:val="00203CFC"/>
    <w:rsid w:val="00207BCB"/>
    <w:rsid w:val="00226341"/>
    <w:rsid w:val="0022634E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52B3B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2074D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04005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41E12"/>
    <w:rsid w:val="00673C21"/>
    <w:rsid w:val="00686E66"/>
    <w:rsid w:val="00697D48"/>
    <w:rsid w:val="006A29E6"/>
    <w:rsid w:val="006A396A"/>
    <w:rsid w:val="006B72D3"/>
    <w:rsid w:val="006E6853"/>
    <w:rsid w:val="006F35F0"/>
    <w:rsid w:val="007170B6"/>
    <w:rsid w:val="0073170A"/>
    <w:rsid w:val="00732616"/>
    <w:rsid w:val="00734333"/>
    <w:rsid w:val="00741D12"/>
    <w:rsid w:val="00744E20"/>
    <w:rsid w:val="007457FF"/>
    <w:rsid w:val="00771DAD"/>
    <w:rsid w:val="007860A8"/>
    <w:rsid w:val="007D424E"/>
    <w:rsid w:val="007E13A9"/>
    <w:rsid w:val="007E57D4"/>
    <w:rsid w:val="008030DA"/>
    <w:rsid w:val="00832B07"/>
    <w:rsid w:val="00844374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71E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5798A"/>
    <w:rsid w:val="0096266A"/>
    <w:rsid w:val="0098095A"/>
    <w:rsid w:val="00992B19"/>
    <w:rsid w:val="009966B1"/>
    <w:rsid w:val="009A6D33"/>
    <w:rsid w:val="009B5070"/>
    <w:rsid w:val="009B5344"/>
    <w:rsid w:val="009C68F2"/>
    <w:rsid w:val="00A1347F"/>
    <w:rsid w:val="00A151E4"/>
    <w:rsid w:val="00A31AA9"/>
    <w:rsid w:val="00A4125C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05B3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1050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295F"/>
    <w:rsid w:val="00C76C50"/>
    <w:rsid w:val="00C800F0"/>
    <w:rsid w:val="00C83B11"/>
    <w:rsid w:val="00C85D44"/>
    <w:rsid w:val="00C95C12"/>
    <w:rsid w:val="00CB470D"/>
    <w:rsid w:val="00CC0BB5"/>
    <w:rsid w:val="00CC686B"/>
    <w:rsid w:val="00CD2B80"/>
    <w:rsid w:val="00CE2BB0"/>
    <w:rsid w:val="00CE349F"/>
    <w:rsid w:val="00D32D0D"/>
    <w:rsid w:val="00D513AA"/>
    <w:rsid w:val="00D52EF0"/>
    <w:rsid w:val="00D62896"/>
    <w:rsid w:val="00D75F4B"/>
    <w:rsid w:val="00D82C9A"/>
    <w:rsid w:val="00DA0452"/>
    <w:rsid w:val="00DB3802"/>
    <w:rsid w:val="00DC38E8"/>
    <w:rsid w:val="00DD58E1"/>
    <w:rsid w:val="00DE293E"/>
    <w:rsid w:val="00DF4642"/>
    <w:rsid w:val="00E01F65"/>
    <w:rsid w:val="00E0742E"/>
    <w:rsid w:val="00E12D82"/>
    <w:rsid w:val="00E15F15"/>
    <w:rsid w:val="00E20BE1"/>
    <w:rsid w:val="00E3136B"/>
    <w:rsid w:val="00E4352B"/>
    <w:rsid w:val="00E46E1F"/>
    <w:rsid w:val="00E72134"/>
    <w:rsid w:val="00E72754"/>
    <w:rsid w:val="00E76B80"/>
    <w:rsid w:val="00E8737E"/>
    <w:rsid w:val="00EA6026"/>
    <w:rsid w:val="00EB4A11"/>
    <w:rsid w:val="00ED18C9"/>
    <w:rsid w:val="00ED6350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A20DC"/>
    <w:rsid w:val="00FA4A05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D7E9"/>
  <w15:docId w15:val="{787E4021-4A11-46EA-A20B-95E5E5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6A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A39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A396A"/>
  </w:style>
  <w:style w:type="paragraph" w:styleId="Sraopastraipa">
    <w:name w:val="List Paragraph"/>
    <w:basedOn w:val="prastasis"/>
    <w:qFormat/>
    <w:rsid w:val="00E7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ulius.lapenas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3724</Words>
  <Characters>2124</Characters>
  <Application>Microsoft Office Word</Application>
  <DocSecurity>0</DocSecurity>
  <Lines>17</Lines>
  <Paragraphs>11</Paragraphs>
  <ScaleCrop>false</ScaleCrop>
  <Company>Sveikatos apsaugos ministerija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2019-11-12T07:11:00Z</cp:lastPrinted>
  <dcterms:created xsi:type="dcterms:W3CDTF">2024-06-10T07:39:00Z</dcterms:created>
  <dcterms:modified xsi:type="dcterms:W3CDTF">2024-06-10T07:40:00Z</dcterms:modified>
</cp:coreProperties>
</file>