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38E8E" w14:textId="77777777" w:rsidR="00FC1CD3" w:rsidRDefault="00F320CA" w:rsidP="00F320CA">
      <w:pPr>
        <w:jc w:val="right"/>
        <w:rPr>
          <w:lang w:val="en-US"/>
        </w:rPr>
      </w:pPr>
      <w:r>
        <w:t>Projektas</w:t>
      </w:r>
    </w:p>
    <w:p w14:paraId="5A1080A7" w14:textId="77777777" w:rsidR="00F320CA" w:rsidRDefault="00F320CA">
      <w:pPr>
        <w:jc w:val="center"/>
        <w:rPr>
          <w:b/>
          <w:bCs/>
          <w:lang w:val="en-US"/>
        </w:rPr>
      </w:pPr>
    </w:p>
    <w:p w14:paraId="462460CF" w14:textId="77777777" w:rsidR="00FC1CD3" w:rsidRDefault="00F20019">
      <w:pPr>
        <w:jc w:val="center"/>
        <w:rPr>
          <w:b/>
        </w:rPr>
      </w:pPr>
      <w:r>
        <w:rPr>
          <w:b/>
          <w:lang w:val="en-US"/>
        </w:rPr>
        <w:t xml:space="preserve">JURBARKO RAJONO </w:t>
      </w:r>
      <w:r>
        <w:rPr>
          <w:b/>
        </w:rPr>
        <w:t>SAVIVALDYBĖS TARYBA</w:t>
      </w:r>
    </w:p>
    <w:p w14:paraId="7CA2AC6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09FEF06" w14:textId="77777777">
        <w:trPr>
          <w:cantSplit/>
        </w:trPr>
        <w:tc>
          <w:tcPr>
            <w:tcW w:w="9654" w:type="dxa"/>
            <w:tcBorders>
              <w:top w:val="nil"/>
              <w:left w:val="nil"/>
              <w:bottom w:val="nil"/>
              <w:right w:val="nil"/>
            </w:tcBorders>
          </w:tcPr>
          <w:p w14:paraId="07BBF483" w14:textId="77777777" w:rsidR="00FC1CD3" w:rsidRDefault="00F20019">
            <w:pPr>
              <w:pStyle w:val="Antrat1"/>
              <w:rPr>
                <w:caps/>
                <w:szCs w:val="24"/>
                <w:lang w:val="lt-LT"/>
              </w:rPr>
            </w:pPr>
            <w:r>
              <w:rPr>
                <w:szCs w:val="24"/>
                <w:lang w:val="lt-LT"/>
              </w:rPr>
              <w:t>SPRENDIMAS</w:t>
            </w:r>
          </w:p>
        </w:tc>
      </w:tr>
      <w:bookmarkStart w:id="0" w:name="DOC_DATA"/>
      <w:tr w:rsidR="00FC1CD3" w14:paraId="2E243AE0" w14:textId="77777777">
        <w:trPr>
          <w:cantSplit/>
        </w:trPr>
        <w:tc>
          <w:tcPr>
            <w:tcW w:w="9654" w:type="dxa"/>
            <w:tcBorders>
              <w:top w:val="nil"/>
              <w:left w:val="nil"/>
              <w:bottom w:val="nil"/>
              <w:right w:val="nil"/>
            </w:tcBorders>
          </w:tcPr>
          <w:p w14:paraId="22A1A42E" w14:textId="77777777" w:rsidR="00FC1CD3" w:rsidRPr="00AE61D9" w:rsidRDefault="008758A4" w:rsidP="00B36446">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w:t>
            </w:r>
            <w:r w:rsidR="002930A8">
              <w:rPr>
                <w:b/>
                <w:noProof/>
              </w:rPr>
              <w:t xml:space="preserve">2023 METŲ </w:t>
            </w:r>
            <w:r w:rsidR="00F20019" w:rsidRPr="005231DA">
              <w:rPr>
                <w:b/>
                <w:noProof/>
              </w:rPr>
              <w:t>JURB</w:t>
            </w:r>
            <w:r w:rsidR="008568E7">
              <w:rPr>
                <w:b/>
                <w:noProof/>
              </w:rPr>
              <w:t xml:space="preserve">ARKO </w:t>
            </w:r>
            <w:r w:rsidR="008C34F7">
              <w:rPr>
                <w:b/>
                <w:noProof/>
              </w:rPr>
              <w:t>VYTAUTO DIDŽIOJO</w:t>
            </w:r>
            <w:r w:rsidR="00B36446">
              <w:rPr>
                <w:b/>
                <w:noProof/>
              </w:rPr>
              <w:t xml:space="preserve"> PROGIMNAZIJOS</w:t>
            </w:r>
            <w:r w:rsidR="00F20019" w:rsidRPr="005231DA">
              <w:rPr>
                <w:b/>
                <w:noProof/>
              </w:rPr>
              <w:t xml:space="preserve"> </w:t>
            </w:r>
            <w:r w:rsidR="008568E7">
              <w:rPr>
                <w:b/>
                <w:noProof/>
              </w:rPr>
              <w:t xml:space="preserve">METINIŲ </w:t>
            </w:r>
            <w:r w:rsidR="000252AB">
              <w:rPr>
                <w:b/>
                <w:noProof/>
              </w:rPr>
              <w:t>ATASKAITŲ RINKINI</w:t>
            </w:r>
            <w:r w:rsidR="002930A8">
              <w:rPr>
                <w:b/>
                <w:noProof/>
              </w:rPr>
              <w:t>O PATVIRTINIM</w:t>
            </w:r>
            <w:r w:rsidR="000252AB">
              <w:rPr>
                <w:b/>
                <w:noProof/>
              </w:rPr>
              <w:t>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1A93C122" w14:textId="77777777">
        <w:trPr>
          <w:cantSplit/>
        </w:trPr>
        <w:tc>
          <w:tcPr>
            <w:tcW w:w="9654" w:type="dxa"/>
            <w:tcBorders>
              <w:top w:val="nil"/>
              <w:left w:val="nil"/>
              <w:bottom w:val="nil"/>
              <w:right w:val="nil"/>
            </w:tcBorders>
          </w:tcPr>
          <w:p w14:paraId="3EF365C3" w14:textId="77777777" w:rsidR="00FC1CD3" w:rsidRPr="00AE61D9" w:rsidRDefault="00FC1CD3">
            <w:pPr>
              <w:pStyle w:val="Antrats"/>
              <w:tabs>
                <w:tab w:val="left" w:pos="1296"/>
              </w:tabs>
              <w:jc w:val="center"/>
              <w:rPr>
                <w:b/>
                <w:caps/>
              </w:rPr>
            </w:pPr>
          </w:p>
        </w:tc>
      </w:tr>
      <w:tr w:rsidR="00FC1CD3" w14:paraId="0AC89636" w14:textId="77777777" w:rsidTr="00BA627E">
        <w:trPr>
          <w:cantSplit/>
          <w:trHeight w:val="359"/>
        </w:trPr>
        <w:tc>
          <w:tcPr>
            <w:tcW w:w="9654" w:type="dxa"/>
            <w:tcBorders>
              <w:top w:val="nil"/>
              <w:left w:val="nil"/>
              <w:bottom w:val="nil"/>
              <w:right w:val="nil"/>
            </w:tcBorders>
          </w:tcPr>
          <w:p w14:paraId="31650048" w14:textId="77777777" w:rsidR="00FC1CD3" w:rsidRPr="00AE61D9" w:rsidRDefault="008758A4"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D7382F">
              <w:instrText xml:space="preserve"> FORMTEXT </w:instrText>
            </w:r>
            <w:r>
              <w:fldChar w:fldCharType="separate"/>
            </w:r>
            <w:r w:rsidR="00D7382F">
              <w:rPr>
                <w:noProof/>
              </w:rPr>
              <w:t>2024 m. gegužės 10 d.</w:t>
            </w:r>
            <w:r>
              <w:fldChar w:fldCharType="end"/>
            </w:r>
            <w:r w:rsidR="00D7382F">
              <w:t xml:space="preserve"> </w:t>
            </w:r>
            <w:r w:rsidR="00D7382F" w:rsidRPr="005231DA">
              <w:t xml:space="preserve"> Nr. </w:t>
            </w:r>
            <w:r w:rsidRPr="00AE61D9">
              <w:fldChar w:fldCharType="begin">
                <w:ffData>
                  <w:name w:val="SHOWS"/>
                  <w:enabled/>
                  <w:calcOnExit w:val="0"/>
                  <w:textInput>
                    <w:default w:val="{$SHOWS}"/>
                  </w:textInput>
                </w:ffData>
              </w:fldChar>
            </w:r>
            <w:r w:rsidR="00D7382F" w:rsidRPr="005231DA">
              <w:instrText xml:space="preserve"> FORMTEXT </w:instrText>
            </w:r>
            <w:r w:rsidRPr="00AE61D9">
              <w:fldChar w:fldCharType="separate"/>
            </w:r>
            <w:r w:rsidR="00D7382F" w:rsidRPr="005231DA">
              <w:rPr>
                <w:noProof/>
              </w:rPr>
              <w:t>TSP-153</w:t>
            </w:r>
            <w:r w:rsidRPr="00AE61D9">
              <w:fldChar w:fldCharType="end"/>
            </w:r>
          </w:p>
        </w:tc>
      </w:tr>
      <w:tr w:rsidR="00FC1CD3" w14:paraId="02157736" w14:textId="77777777">
        <w:trPr>
          <w:cantSplit/>
        </w:trPr>
        <w:tc>
          <w:tcPr>
            <w:tcW w:w="9654" w:type="dxa"/>
            <w:tcBorders>
              <w:top w:val="nil"/>
              <w:left w:val="nil"/>
              <w:bottom w:val="nil"/>
              <w:right w:val="nil"/>
            </w:tcBorders>
          </w:tcPr>
          <w:p w14:paraId="4C37571B" w14:textId="77777777" w:rsidR="00FC1CD3" w:rsidRDefault="00F20019">
            <w:pPr>
              <w:jc w:val="center"/>
            </w:pPr>
            <w:r>
              <w:t>Jurbarkas</w:t>
            </w:r>
          </w:p>
        </w:tc>
      </w:tr>
    </w:tbl>
    <w:p w14:paraId="0C8B0246" w14:textId="77777777" w:rsidR="00FC1CD3" w:rsidRDefault="00FC1CD3">
      <w:pPr>
        <w:jc w:val="both"/>
      </w:pPr>
    </w:p>
    <w:p w14:paraId="4BE2FEFD" w14:textId="4D73FD43" w:rsidR="00931DA8" w:rsidRDefault="008568E7" w:rsidP="00931DA8">
      <w:pPr>
        <w:jc w:val="both"/>
        <w:rPr>
          <w:sz w:val="22"/>
        </w:rPr>
      </w:pPr>
      <w:bookmarkStart w:id="1" w:name="_Hlk163632176"/>
      <w:r>
        <w:rPr>
          <w:szCs w:val="24"/>
        </w:rPr>
        <w:tab/>
      </w:r>
      <w:r w:rsidR="00A809D6" w:rsidRPr="00A809D6">
        <w:rPr>
          <w:szCs w:val="24"/>
        </w:rPr>
        <w:t>Vadovaudamasi Lietuvos Respublikos vietos savivaldos įstatymo 15 straipsnio 3 dalies 1 punktu, Lietuvos Respublikos viešojo sektoriaus atskaitomybės įstatymo 6 straipsnio 1 dalimi</w:t>
      </w:r>
      <w:r w:rsidR="008D6AD8">
        <w:rPr>
          <w:szCs w:val="24"/>
        </w:rPr>
        <w:t>,</w:t>
      </w:r>
      <w:r w:rsidR="00A809D6" w:rsidRPr="00A809D6">
        <w:rPr>
          <w:szCs w:val="24"/>
        </w:rPr>
        <w:t xml:space="preserve"> </w:t>
      </w:r>
      <w:r w:rsidR="006159F1" w:rsidRPr="0009078D">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w:t>
      </w:r>
      <w:r w:rsidR="006159F1" w:rsidRPr="001471AC">
        <w:rPr>
          <w:szCs w:val="24"/>
        </w:rPr>
        <w:t>sektoriaus subjekto metinės veiklos ataskaitos ir viešojo sektoriaus subjektų grupės metinės veiklos ataskaitos rengimo tvarkos aprašo patvirtinimo“, 4</w:t>
      </w:r>
      <w:r w:rsidR="00E16384">
        <w:rPr>
          <w:szCs w:val="24"/>
        </w:rPr>
        <w:t> </w:t>
      </w:r>
      <w:r w:rsidR="00A809D6">
        <w:rPr>
          <w:szCs w:val="24"/>
        </w:rPr>
        <w:t xml:space="preserve"> </w:t>
      </w:r>
      <w:r w:rsidR="00E16384">
        <w:rPr>
          <w:szCs w:val="24"/>
        </w:rPr>
        <w:t xml:space="preserve"> </w:t>
      </w:r>
      <w:r w:rsidR="006159F1" w:rsidRPr="001471AC">
        <w:rPr>
          <w:szCs w:val="24"/>
        </w:rPr>
        <w:t>punktu</w:t>
      </w:r>
      <w:r w:rsidR="006159F1">
        <w:rPr>
          <w:szCs w:val="24"/>
        </w:rPr>
        <w:t xml:space="preserve"> </w:t>
      </w:r>
      <w:r w:rsidR="00C64AC0" w:rsidRPr="0003606D">
        <w:rPr>
          <w:szCs w:val="24"/>
        </w:rPr>
        <w:t xml:space="preserve">ir </w:t>
      </w:r>
      <w:r w:rsidR="00C64AC0" w:rsidRPr="008D6AD8">
        <w:rPr>
          <w:szCs w:val="24"/>
        </w:rPr>
        <w:t xml:space="preserve">atsižvelgdama į Jurbarko </w:t>
      </w:r>
      <w:r w:rsidR="008C34F7">
        <w:rPr>
          <w:szCs w:val="24"/>
        </w:rPr>
        <w:t xml:space="preserve">Vytauto Didžiojo </w:t>
      </w:r>
      <w:r w:rsidR="00B36446">
        <w:rPr>
          <w:szCs w:val="24"/>
        </w:rPr>
        <w:t xml:space="preserve">progimnazijos </w:t>
      </w:r>
      <w:r w:rsidR="00C64AC0" w:rsidRPr="00265861">
        <w:rPr>
          <w:szCs w:val="24"/>
        </w:rPr>
        <w:t>202</w:t>
      </w:r>
      <w:r w:rsidR="006159F1" w:rsidRPr="00265861">
        <w:rPr>
          <w:szCs w:val="24"/>
        </w:rPr>
        <w:t>4</w:t>
      </w:r>
      <w:r w:rsidR="00C64AC0" w:rsidRPr="00265861">
        <w:rPr>
          <w:szCs w:val="24"/>
        </w:rPr>
        <w:t xml:space="preserve"> m. </w:t>
      </w:r>
      <w:r w:rsidR="00D7382F" w:rsidRPr="00265861">
        <w:rPr>
          <w:szCs w:val="24"/>
        </w:rPr>
        <w:t xml:space="preserve">gegužės </w:t>
      </w:r>
      <w:r w:rsidR="005E3BBB" w:rsidRPr="005E3BBB">
        <w:rPr>
          <w:szCs w:val="24"/>
        </w:rPr>
        <w:t>9</w:t>
      </w:r>
      <w:r w:rsidR="00D7382F" w:rsidRPr="005E3BBB">
        <w:rPr>
          <w:szCs w:val="24"/>
        </w:rPr>
        <w:t xml:space="preserve"> </w:t>
      </w:r>
      <w:r w:rsidR="00C64AC0" w:rsidRPr="005E3BBB">
        <w:rPr>
          <w:szCs w:val="24"/>
        </w:rPr>
        <w:t>d. raštą Nr.</w:t>
      </w:r>
      <w:r w:rsidR="005E3BBB" w:rsidRPr="005E3BBB">
        <w:rPr>
          <w:szCs w:val="24"/>
        </w:rPr>
        <w:t xml:space="preserve"> S-71 </w:t>
      </w:r>
      <w:r w:rsidR="005E3BBB" w:rsidRPr="005E3BBB">
        <w:t xml:space="preserve">„Dėl </w:t>
      </w:r>
      <w:r w:rsidR="006F0F61" w:rsidRPr="005E3BBB">
        <w:t>Jurbarko</w:t>
      </w:r>
      <w:r w:rsidR="006F0F61">
        <w:t xml:space="preserve"> Vytauto Didžiojo progimnazijos </w:t>
      </w:r>
      <w:r w:rsidR="005E3BBB">
        <w:t>2023 metų veiklos ataskaitos, biudžeto vykdymo ataskaitų rinkinio, finansinių ataskaitų  rinkinio siuntimo</w:t>
      </w:r>
      <w:r w:rsidR="00931DA8">
        <w:t>“,</w:t>
      </w:r>
    </w:p>
    <w:p w14:paraId="5E5D0C49" w14:textId="77777777" w:rsidR="00C64AC0" w:rsidRPr="0003606D" w:rsidRDefault="00C64AC0" w:rsidP="00A809D6">
      <w:pPr>
        <w:ind w:firstLine="720"/>
        <w:jc w:val="both"/>
        <w:rPr>
          <w:szCs w:val="24"/>
        </w:rPr>
      </w:pPr>
      <w:r w:rsidRPr="0003606D">
        <w:rPr>
          <w:szCs w:val="24"/>
        </w:rPr>
        <w:t>Jurbarko rajono savivaldybės taryba</w:t>
      </w:r>
      <w:r w:rsidRPr="00A809D6">
        <w:rPr>
          <w:szCs w:val="24"/>
        </w:rPr>
        <w:t xml:space="preserve"> </w:t>
      </w:r>
      <w:r w:rsidRPr="00A809D6">
        <w:rPr>
          <w:spacing w:val="80"/>
          <w:szCs w:val="24"/>
        </w:rPr>
        <w:t>nusprendži</w:t>
      </w:r>
      <w:r w:rsidRPr="0003606D">
        <w:rPr>
          <w:szCs w:val="24"/>
        </w:rPr>
        <w:t>a:</w:t>
      </w:r>
    </w:p>
    <w:p w14:paraId="32AD3C04" w14:textId="77777777" w:rsidR="002930A8" w:rsidRPr="0009078D" w:rsidRDefault="002930A8" w:rsidP="002930A8">
      <w:pPr>
        <w:tabs>
          <w:tab w:val="left" w:pos="709"/>
        </w:tabs>
        <w:suppressAutoHyphens/>
        <w:ind w:firstLine="709"/>
        <w:jc w:val="both"/>
        <w:rPr>
          <w:szCs w:val="24"/>
        </w:rPr>
      </w:pPr>
      <w:r>
        <w:rPr>
          <w:szCs w:val="24"/>
        </w:rPr>
        <w:t>Patvirtinti</w:t>
      </w:r>
      <w:r w:rsidR="008D6AD8" w:rsidRPr="008D6AD8">
        <w:rPr>
          <w:szCs w:val="24"/>
        </w:rPr>
        <w:t xml:space="preserve"> </w:t>
      </w:r>
      <w:r w:rsidR="008D6AD8" w:rsidRPr="0003606D">
        <w:rPr>
          <w:szCs w:val="24"/>
        </w:rPr>
        <w:t xml:space="preserve">Jurbarko </w:t>
      </w:r>
      <w:r w:rsidR="008C34F7">
        <w:rPr>
          <w:szCs w:val="24"/>
        </w:rPr>
        <w:t xml:space="preserve">Vytauto Didžiojo </w:t>
      </w:r>
      <w:r w:rsidR="00B36446">
        <w:rPr>
          <w:szCs w:val="24"/>
        </w:rPr>
        <w:t xml:space="preserve">progimnazijos </w:t>
      </w:r>
      <w:r w:rsidR="008D6AD8">
        <w:rPr>
          <w:szCs w:val="24"/>
        </w:rPr>
        <w:t>2023 metų metinių ataskaitų rinkinį</w:t>
      </w:r>
      <w:r w:rsidRPr="0009078D">
        <w:rPr>
          <w:szCs w:val="24"/>
        </w:rPr>
        <w:t>:</w:t>
      </w:r>
    </w:p>
    <w:p w14:paraId="3AE423B8" w14:textId="77777777" w:rsidR="002930A8" w:rsidRPr="0009078D" w:rsidRDefault="002930A8" w:rsidP="002930A8">
      <w:pPr>
        <w:numPr>
          <w:ilvl w:val="0"/>
          <w:numId w:val="8"/>
        </w:numPr>
        <w:tabs>
          <w:tab w:val="left" w:pos="709"/>
          <w:tab w:val="left" w:pos="993"/>
        </w:tabs>
        <w:suppressAutoHyphens/>
        <w:ind w:left="0" w:firstLine="709"/>
        <w:jc w:val="both"/>
        <w:rPr>
          <w:szCs w:val="24"/>
        </w:rPr>
      </w:pPr>
      <w:r w:rsidRPr="0003606D">
        <w:rPr>
          <w:szCs w:val="24"/>
        </w:rPr>
        <w:t xml:space="preserve">Jurbarko </w:t>
      </w:r>
      <w:r w:rsidR="008C34F7">
        <w:rPr>
          <w:szCs w:val="24"/>
        </w:rPr>
        <w:t xml:space="preserve">Vytauto Didžiojo </w:t>
      </w:r>
      <w:r w:rsidR="00B36446">
        <w:rPr>
          <w:szCs w:val="24"/>
        </w:rPr>
        <w:t xml:space="preserve">progimnazijos </w:t>
      </w:r>
      <w:r w:rsidRPr="0009078D">
        <w:rPr>
          <w:szCs w:val="24"/>
        </w:rPr>
        <w:t>2023 metų veiklos ataskait</w:t>
      </w:r>
      <w:r>
        <w:rPr>
          <w:szCs w:val="24"/>
        </w:rPr>
        <w:t>ą</w:t>
      </w:r>
      <w:r w:rsidRPr="0009078D">
        <w:rPr>
          <w:szCs w:val="24"/>
        </w:rPr>
        <w:t xml:space="preserve"> (pridedama);</w:t>
      </w:r>
    </w:p>
    <w:p w14:paraId="5D3B2182" w14:textId="77777777"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w:t>
      </w:r>
      <w:r w:rsidR="008C34F7">
        <w:rPr>
          <w:szCs w:val="24"/>
        </w:rPr>
        <w:t xml:space="preserve">Vytauto Didžiojo </w:t>
      </w:r>
      <w:r w:rsidR="00FE0B13">
        <w:rPr>
          <w:szCs w:val="24"/>
        </w:rPr>
        <w:t xml:space="preserve">2023 metų </w:t>
      </w:r>
      <w:r w:rsidRPr="0009078D">
        <w:rPr>
          <w:szCs w:val="24"/>
        </w:rPr>
        <w:t>finansinių ataskaitų rinkin</w:t>
      </w:r>
      <w:r>
        <w:rPr>
          <w:szCs w:val="24"/>
        </w:rPr>
        <w:t>į</w:t>
      </w:r>
      <w:r w:rsidRPr="0009078D">
        <w:rPr>
          <w:szCs w:val="24"/>
        </w:rPr>
        <w:t xml:space="preserve"> (pridedama);</w:t>
      </w:r>
    </w:p>
    <w:p w14:paraId="408165FF" w14:textId="77777777"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w:t>
      </w:r>
      <w:r w:rsidR="008C34F7">
        <w:rPr>
          <w:szCs w:val="24"/>
        </w:rPr>
        <w:t xml:space="preserve">Vytauto Didžiojo </w:t>
      </w:r>
      <w:r w:rsidR="00FE0B13">
        <w:rPr>
          <w:szCs w:val="24"/>
        </w:rPr>
        <w:t xml:space="preserve">2023 metų </w:t>
      </w:r>
      <w:r w:rsidRPr="0009078D">
        <w:rPr>
          <w:szCs w:val="24"/>
        </w:rPr>
        <w:t>biudžeto vykdymo ataskaitų rinkin</w:t>
      </w:r>
      <w:r>
        <w:rPr>
          <w:szCs w:val="24"/>
        </w:rPr>
        <w:t>į</w:t>
      </w:r>
      <w:r w:rsidRPr="0009078D">
        <w:rPr>
          <w:szCs w:val="24"/>
        </w:rPr>
        <w:t xml:space="preserve"> (pridedama).</w:t>
      </w:r>
    </w:p>
    <w:p w14:paraId="3F32C573" w14:textId="77777777" w:rsidR="00FC1CD3" w:rsidRDefault="00C64AC0" w:rsidP="002930A8">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1"/>
    <w:p w14:paraId="19CD902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028EFEE" w14:textId="77777777">
        <w:trPr>
          <w:trHeight w:val="180"/>
        </w:trPr>
        <w:tc>
          <w:tcPr>
            <w:tcW w:w="4410" w:type="dxa"/>
          </w:tcPr>
          <w:p w14:paraId="7E1F73DD" w14:textId="77777777" w:rsidR="00FC1CD3" w:rsidRDefault="00F4316F">
            <w:r>
              <w:t>Savivaldybės meras</w:t>
            </w:r>
          </w:p>
        </w:tc>
        <w:tc>
          <w:tcPr>
            <w:tcW w:w="4410" w:type="dxa"/>
          </w:tcPr>
          <w:p w14:paraId="17ACEDBB" w14:textId="77777777" w:rsidR="00FC1CD3" w:rsidRDefault="00FC1CD3">
            <w:pPr>
              <w:jc w:val="right"/>
            </w:pPr>
          </w:p>
        </w:tc>
      </w:tr>
    </w:tbl>
    <w:p w14:paraId="1D8964DD" w14:textId="77777777" w:rsidR="006159F1" w:rsidRDefault="006159F1"/>
    <w:p w14:paraId="3AEF3F3D" w14:textId="77777777" w:rsidR="002930A8" w:rsidRDefault="002930A8" w:rsidP="002930A8">
      <w:r>
        <w:t xml:space="preserve">Vizos: </w:t>
      </w:r>
    </w:p>
    <w:p w14:paraId="0759CF8B" w14:textId="77777777" w:rsidR="002930A8" w:rsidRDefault="002930A8" w:rsidP="002930A8">
      <w:r>
        <w:t>Administracijos direktorė R. Vančienė</w:t>
      </w:r>
    </w:p>
    <w:p w14:paraId="1B7BCCCF" w14:textId="77777777" w:rsidR="002930A8" w:rsidRDefault="002930A8" w:rsidP="002930A8">
      <w:r>
        <w:t xml:space="preserve">Teisės ir civilinės metrikacijos skyriaus vedėja O. Sutkaitienė </w:t>
      </w:r>
    </w:p>
    <w:p w14:paraId="776CD559" w14:textId="77777777" w:rsidR="002930A8" w:rsidRDefault="002930A8" w:rsidP="002930A8">
      <w:r>
        <w:t>Tarybos posėdžių sekretorė D. Dačkauskaitė</w:t>
      </w:r>
    </w:p>
    <w:p w14:paraId="2541A15C" w14:textId="77777777" w:rsidR="002930A8" w:rsidRDefault="002930A8" w:rsidP="002930A8">
      <w:r>
        <w:t>Dokumentų ir viešųjų ryšių skyriaus vyr. specialistas A. Gvildys</w:t>
      </w:r>
    </w:p>
    <w:p w14:paraId="61D7FACC" w14:textId="77777777" w:rsidR="002930A8" w:rsidRDefault="002930A8" w:rsidP="002930A8">
      <w:r>
        <w:t>Švietimo, kultūros ir sporto skyriaus vedėja A. Baliukynaitė</w:t>
      </w:r>
    </w:p>
    <w:p w14:paraId="35BD3CAD" w14:textId="77777777" w:rsidR="00D83E1B" w:rsidRDefault="00D83E1B" w:rsidP="00D83E1B">
      <w:pPr>
        <w:rPr>
          <w:sz w:val="22"/>
        </w:rPr>
      </w:pPr>
      <w:r>
        <w:t xml:space="preserve">Finansų skyriaus vyr. specialistė, laikinai vykdanti vedėjo </w:t>
      </w:r>
      <w:r w:rsidRPr="00AA3F17">
        <w:t>funkcijas</w:t>
      </w:r>
      <w:r w:rsidR="0034144B" w:rsidRPr="00AA3F17">
        <w:t>,</w:t>
      </w:r>
      <w:r>
        <w:t xml:space="preserve"> A. Narušienė</w:t>
      </w:r>
    </w:p>
    <w:p w14:paraId="37CD8726" w14:textId="77777777" w:rsidR="002930A8" w:rsidRDefault="002930A8" w:rsidP="002930A8"/>
    <w:p w14:paraId="62C68F86" w14:textId="77777777" w:rsidR="00190B66" w:rsidRDefault="00190B66"/>
    <w:p w14:paraId="767CF5E5" w14:textId="77777777" w:rsidR="00F320CA" w:rsidRDefault="00F320CA" w:rsidP="00F320CA">
      <w:r>
        <w:t>Parengė</w:t>
      </w:r>
    </w:p>
    <w:bookmarkStart w:id="2" w:name="CREATOR_SHOWS"/>
    <w:p w14:paraId="32F259D0" w14:textId="77777777" w:rsidR="00D93DCC" w:rsidRDefault="008758A4" w:rsidP="00107C26">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D7382F">
        <w:rPr>
          <w:noProof/>
          <w:lang w:eastAsia="de-DE"/>
        </w:rPr>
        <w:t>Dalia Jaramavicienė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w:t>
      </w:r>
      <w:r w:rsidR="00D7382F">
        <w:rPr>
          <w:noProof/>
          <w:lang w:eastAsia="de-DE"/>
        </w:rPr>
        <w:t>85 49 835</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D7382F">
        <w:rPr>
          <w:noProof/>
          <w:lang w:eastAsia="de-DE"/>
        </w:rPr>
        <w:t>dalia.jaramaviciene@jurbarkas.lt</w:t>
      </w:r>
      <w:r>
        <w:rPr>
          <w:lang w:eastAsia="de-DE"/>
        </w:rPr>
        <w:fldChar w:fldCharType="end"/>
      </w:r>
      <w:bookmarkEnd w:id="4"/>
    </w:p>
    <w:p w14:paraId="166C51B6" w14:textId="77777777" w:rsidR="00D7382F" w:rsidRDefault="00D7382F" w:rsidP="00107C26">
      <w:pPr>
        <w:pStyle w:val="Antrats"/>
        <w:tabs>
          <w:tab w:val="clear" w:pos="4153"/>
          <w:tab w:val="clear" w:pos="8306"/>
        </w:tabs>
      </w:pPr>
    </w:p>
    <w:p w14:paraId="54878217" w14:textId="77777777" w:rsidR="00D7382F" w:rsidRDefault="00D7382F" w:rsidP="00D7382F">
      <w:pPr>
        <w:sectPr w:rsidR="00D7382F" w:rsidSect="00DC0474">
          <w:headerReference w:type="even" r:id="rId7"/>
          <w:headerReference w:type="default" r:id="rId8"/>
          <w:footerReference w:type="even" r:id="rId9"/>
          <w:footerReference w:type="default" r:id="rId10"/>
          <w:headerReference w:type="first" r:id="rId11"/>
          <w:footerReference w:type="first" r:id="rId12"/>
          <w:pgSz w:w="11906" w:h="16838" w:code="9"/>
          <w:pgMar w:top="1134" w:right="680" w:bottom="1134" w:left="1701" w:header="1134" w:footer="726" w:gutter="0"/>
          <w:cols w:space="1296"/>
          <w:titlePg/>
          <w:docGrid w:linePitch="360"/>
        </w:sectPr>
      </w:pPr>
    </w:p>
    <w:p w14:paraId="6D96976D" w14:textId="77777777" w:rsidR="00F41211" w:rsidRDefault="00F41211" w:rsidP="00F41211">
      <w:pPr>
        <w:tabs>
          <w:tab w:val="left" w:pos="4820"/>
        </w:tabs>
        <w:ind w:left="5245" w:firstLine="4678"/>
      </w:pPr>
      <w:r>
        <w:lastRenderedPageBreak/>
        <w:t>PATVIRTINTA</w:t>
      </w:r>
    </w:p>
    <w:p w14:paraId="453C2017" w14:textId="77777777" w:rsidR="00F41211" w:rsidRDefault="00F41211" w:rsidP="00F41211">
      <w:pPr>
        <w:ind w:left="5245" w:firstLine="4678"/>
      </w:pPr>
      <w:r>
        <w:t xml:space="preserve">Jurbarko rajono savivaldybės tarybos </w:t>
      </w:r>
    </w:p>
    <w:p w14:paraId="2EA7F6FC" w14:textId="77777777" w:rsidR="00F41211" w:rsidRDefault="008758A4" w:rsidP="00F41211">
      <w:pPr>
        <w:ind w:left="5245" w:firstLine="4678"/>
      </w:pPr>
      <w:r>
        <w:fldChar w:fldCharType="begin">
          <w:ffData>
            <w:name w:val="NOW_WORD_DATE"/>
            <w:enabled/>
            <w:calcOnExit w:val="0"/>
            <w:textInput>
              <w:default w:val="{$NOW_WORD_DATE}"/>
            </w:textInput>
          </w:ffData>
        </w:fldChar>
      </w:r>
      <w:r w:rsidR="00F41211">
        <w:instrText xml:space="preserve"> FORMTEXT </w:instrText>
      </w:r>
      <w:r>
        <w:fldChar w:fldCharType="separate"/>
      </w:r>
      <w:r w:rsidR="00F41211">
        <w:rPr>
          <w:noProof/>
        </w:rPr>
        <w:t>2024 m. gegužės 10 d.</w:t>
      </w:r>
      <w:r>
        <w:fldChar w:fldCharType="end"/>
      </w:r>
      <w:r w:rsidR="00F41211">
        <w:t xml:space="preserve"> sprendimu Nr. </w:t>
      </w:r>
      <w:r>
        <w:fldChar w:fldCharType="begin">
          <w:ffData>
            <w:name w:val="SHOWS"/>
            <w:enabled/>
            <w:calcOnExit w:val="0"/>
            <w:textInput>
              <w:default w:val="{$SHOWS}"/>
            </w:textInput>
          </w:ffData>
        </w:fldChar>
      </w:r>
      <w:r w:rsidR="00F41211">
        <w:instrText xml:space="preserve"> FORMTEXT </w:instrText>
      </w:r>
      <w:r>
        <w:fldChar w:fldCharType="separate"/>
      </w:r>
      <w:r w:rsidR="00F41211">
        <w:rPr>
          <w:noProof/>
        </w:rPr>
        <w:t>TSP-153</w:t>
      </w:r>
      <w:r>
        <w:fldChar w:fldCharType="end"/>
      </w:r>
    </w:p>
    <w:p w14:paraId="7CBAF936" w14:textId="77777777" w:rsidR="006F0F61" w:rsidRDefault="006F0F61" w:rsidP="006F0F61">
      <w:pPr>
        <w:suppressAutoHyphens/>
        <w:jc w:val="center"/>
        <w:textAlignment w:val="baseline"/>
        <w:rPr>
          <w:b/>
          <w:bCs/>
          <w:szCs w:val="24"/>
        </w:rPr>
      </w:pPr>
    </w:p>
    <w:p w14:paraId="2BF77A64" w14:textId="77777777" w:rsidR="006F0F61" w:rsidRDefault="00F41211" w:rsidP="006F0F61">
      <w:pPr>
        <w:suppressAutoHyphens/>
        <w:jc w:val="center"/>
        <w:textAlignment w:val="baseline"/>
        <w:rPr>
          <w:b/>
          <w:bCs/>
          <w:szCs w:val="24"/>
        </w:rPr>
      </w:pPr>
      <w:r>
        <w:rPr>
          <w:b/>
          <w:bCs/>
          <w:szCs w:val="24"/>
        </w:rPr>
        <w:t xml:space="preserve">JURBARKO </w:t>
      </w:r>
      <w:r w:rsidR="008C34F7" w:rsidRPr="008C34F7">
        <w:rPr>
          <w:b/>
          <w:szCs w:val="24"/>
        </w:rPr>
        <w:t>VYTAUTO DIDŽIOJO</w:t>
      </w:r>
      <w:r w:rsidR="008C34F7">
        <w:rPr>
          <w:szCs w:val="24"/>
        </w:rPr>
        <w:t xml:space="preserve"> </w:t>
      </w:r>
      <w:r w:rsidR="00B36446">
        <w:rPr>
          <w:b/>
          <w:bCs/>
          <w:szCs w:val="24"/>
        </w:rPr>
        <w:t xml:space="preserve">PROGIMNAZIJOS </w:t>
      </w:r>
      <w:r>
        <w:rPr>
          <w:b/>
          <w:bCs/>
          <w:szCs w:val="24"/>
        </w:rPr>
        <w:t>2023 METŲ VEIKLOS ATASKAITA</w:t>
      </w:r>
    </w:p>
    <w:p w14:paraId="501F05D9" w14:textId="77777777" w:rsidR="00D7382F" w:rsidRPr="006F0F61" w:rsidRDefault="00D7382F" w:rsidP="006F0F61">
      <w:pPr>
        <w:suppressAutoHyphens/>
        <w:jc w:val="center"/>
        <w:textAlignment w:val="baseline"/>
        <w:rPr>
          <w:b/>
          <w:bCs/>
          <w:szCs w:val="24"/>
        </w:rPr>
      </w:pPr>
      <w:r>
        <w:rPr>
          <w:b/>
          <w:bCs/>
          <w:szCs w:val="24"/>
        </w:rPr>
        <w:t>VADOVO PRANEŠIMAS</w:t>
      </w:r>
    </w:p>
    <w:tbl>
      <w:tblPr>
        <w:tblW w:w="144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459"/>
      </w:tblGrid>
      <w:tr w:rsidR="006F0F61" w:rsidRPr="006F0F61" w14:paraId="3EBAFD93" w14:textId="77777777" w:rsidTr="006F0F61">
        <w:trPr>
          <w:trHeight w:val="470"/>
        </w:trPr>
        <w:tc>
          <w:tcPr>
            <w:tcW w:w="14459" w:type="dxa"/>
            <w:tcBorders>
              <w:top w:val="single" w:sz="4" w:space="0" w:color="auto"/>
              <w:left w:val="single" w:sz="4" w:space="0" w:color="auto"/>
              <w:bottom w:val="single" w:sz="4" w:space="0" w:color="auto"/>
              <w:right w:val="single" w:sz="4" w:space="0" w:color="auto"/>
            </w:tcBorders>
          </w:tcPr>
          <w:p w14:paraId="51304686" w14:textId="77777777" w:rsidR="006F0F61" w:rsidRPr="006F0F61" w:rsidRDefault="006F0F61" w:rsidP="006F0F61">
            <w:pPr>
              <w:ind w:left="720"/>
              <w:rPr>
                <w:rFonts w:eastAsia="Calibri"/>
                <w:b/>
                <w:kern w:val="2"/>
                <w:szCs w:val="24"/>
                <w:lang w:eastAsia="en-US"/>
              </w:rPr>
            </w:pPr>
            <w:r w:rsidRPr="006F0F61">
              <w:rPr>
                <w:rFonts w:eastAsia="Calibri"/>
                <w:kern w:val="2"/>
                <w:szCs w:val="24"/>
                <w:lang w:eastAsia="en-US"/>
              </w:rPr>
              <w:t xml:space="preserve">Įstaigos direktorius </w:t>
            </w:r>
            <w:r w:rsidRPr="00AA3F17">
              <w:rPr>
                <w:rFonts w:eastAsia="Calibri"/>
                <w:kern w:val="2"/>
                <w:szCs w:val="24"/>
                <w:lang w:eastAsia="en-US"/>
              </w:rPr>
              <w:t>–</w:t>
            </w:r>
            <w:r w:rsidR="0034144B" w:rsidRPr="00AA3F17">
              <w:rPr>
                <w:rFonts w:eastAsia="Calibri"/>
                <w:kern w:val="2"/>
                <w:szCs w:val="24"/>
                <w:lang w:eastAsia="en-US"/>
              </w:rPr>
              <w:t xml:space="preserve"> </w:t>
            </w:r>
            <w:r w:rsidRPr="00AA3F17">
              <w:rPr>
                <w:rFonts w:eastAsia="Calibri"/>
                <w:kern w:val="2"/>
                <w:szCs w:val="24"/>
                <w:lang w:eastAsia="en-US"/>
              </w:rPr>
              <w:t>Viljamas</w:t>
            </w:r>
            <w:r w:rsidRPr="006F0F61">
              <w:rPr>
                <w:rFonts w:eastAsia="Calibri"/>
                <w:kern w:val="2"/>
                <w:szCs w:val="24"/>
                <w:lang w:eastAsia="en-US"/>
              </w:rPr>
              <w:t xml:space="preserve"> Bakšys.</w:t>
            </w:r>
          </w:p>
          <w:p w14:paraId="440E63B6" w14:textId="77777777" w:rsidR="006F0F61" w:rsidRPr="006F0F61" w:rsidRDefault="006F0F61" w:rsidP="006F0F61">
            <w:pPr>
              <w:ind w:firstLine="720"/>
              <w:rPr>
                <w:rFonts w:eastAsia="Calibri"/>
                <w:kern w:val="2"/>
                <w:szCs w:val="24"/>
                <w:lang w:eastAsia="en-US"/>
              </w:rPr>
            </w:pPr>
            <w:r w:rsidRPr="006F0F61">
              <w:rPr>
                <w:rFonts w:eastAsia="Calibri"/>
                <w:kern w:val="2"/>
                <w:szCs w:val="24"/>
                <w:lang w:eastAsia="en-US"/>
              </w:rPr>
              <w:t xml:space="preserve">Tarybos pirmininkė – Sigita </w:t>
            </w:r>
            <w:proofErr w:type="spellStart"/>
            <w:r w:rsidRPr="006F0F61">
              <w:rPr>
                <w:rFonts w:eastAsia="Calibri"/>
                <w:kern w:val="2"/>
                <w:szCs w:val="24"/>
                <w:lang w:eastAsia="en-US"/>
              </w:rPr>
              <w:t>Kiudienė</w:t>
            </w:r>
            <w:proofErr w:type="spellEnd"/>
            <w:r w:rsidRPr="006F0F61">
              <w:rPr>
                <w:rFonts w:eastAsia="Calibri"/>
                <w:kern w:val="2"/>
                <w:szCs w:val="24"/>
                <w:lang w:eastAsia="en-US"/>
              </w:rPr>
              <w:t>.</w:t>
            </w:r>
          </w:p>
          <w:p w14:paraId="77141F92" w14:textId="77777777" w:rsidR="006F0F61" w:rsidRPr="006F0F61" w:rsidRDefault="006F0F61" w:rsidP="006F0F61">
            <w:pPr>
              <w:ind w:firstLine="720"/>
              <w:rPr>
                <w:rFonts w:eastAsia="Calibri"/>
                <w:kern w:val="2"/>
                <w:szCs w:val="24"/>
                <w:lang w:eastAsia="en-US"/>
              </w:rPr>
            </w:pPr>
            <w:r w:rsidRPr="006F0F61">
              <w:rPr>
                <w:rFonts w:eastAsia="Calibri"/>
                <w:kern w:val="2"/>
                <w:szCs w:val="24"/>
                <w:lang w:eastAsia="en-US"/>
              </w:rPr>
              <w:t>Pagrindinė įstaigos veiklos rūšis – pirmos pakopos pagrindinis ugdymas.</w:t>
            </w:r>
          </w:p>
          <w:p w14:paraId="5A0C17CD" w14:textId="77777777" w:rsidR="006F0F61" w:rsidRPr="006F0F61" w:rsidRDefault="006F0F61" w:rsidP="006F0F61">
            <w:pPr>
              <w:ind w:firstLine="720"/>
              <w:rPr>
                <w:kern w:val="2"/>
                <w:szCs w:val="24"/>
                <w:lang w:eastAsia="en-US"/>
              </w:rPr>
            </w:pPr>
            <w:r w:rsidRPr="006F0F61">
              <w:rPr>
                <w:kern w:val="2"/>
                <w:szCs w:val="24"/>
                <w:lang w:eastAsia="en-US"/>
              </w:rPr>
              <w:t>Kitos įstaigos veiklos rūšys – pradinis ugdymas, neformalusis mokinių švietimas.</w:t>
            </w:r>
          </w:p>
          <w:p w14:paraId="1CFA05BE" w14:textId="75C7E0E2" w:rsidR="006F0F61" w:rsidRPr="006F0F61" w:rsidRDefault="006F0F61" w:rsidP="006F0F61">
            <w:pPr>
              <w:suppressAutoHyphens/>
              <w:ind w:firstLine="709"/>
              <w:jc w:val="both"/>
              <w:textAlignment w:val="baseline"/>
              <w:rPr>
                <w:rFonts w:eastAsia="Calibri"/>
                <w:bCs/>
                <w:iCs/>
                <w:kern w:val="2"/>
                <w:szCs w:val="24"/>
                <w:lang w:eastAsia="en-US"/>
              </w:rPr>
            </w:pPr>
            <w:r w:rsidRPr="006F0F61">
              <w:rPr>
                <w:rFonts w:eastAsia="Calibri"/>
                <w:bCs/>
                <w:iCs/>
                <w:kern w:val="2"/>
                <w:szCs w:val="24"/>
                <w:lang w:eastAsia="en-US"/>
              </w:rPr>
              <w:t xml:space="preserve">Progimnazija 2023 metais baigė įgyvendinti projekto „Kokybės krepšelis“ pažangos plano veiklas. Atliktas išorinis auditas nustatė, kad progimnazija padarė pažangą, nuosekliai ir kryptingai įgyvendindama veiklos tobulinimo planą ir pasinaudodama „Kokybės krepšelio“ projekto lėšomis: kryptingai nusimatė tobulinimo tikslą ir uždavinius; pasirinko tinkamas veiklas jiems pasiekti; planuojamas veiklų tęstinumas ir tvarumo užtikrinimas. Progimnazijos komanda nuosekliai dalyvavo rengiant „Tūkstantmečio mokyklos II“ projekto Jurbarko rajono savivaldybės pažangos planą ir yra patvirtinta viena iš trijų projektą įgyvendinančių mokyklų Jurbarko miete. Mokinių pasiekimai ir pažanga bei pedagogų ir kvalifikacija ir patirtis užtikrina stabilų įstaigos darbą ir garantuoja </w:t>
            </w:r>
            <w:r w:rsidRPr="00AA3F17">
              <w:rPr>
                <w:rFonts w:eastAsia="Calibri"/>
                <w:bCs/>
                <w:iCs/>
                <w:kern w:val="2"/>
                <w:szCs w:val="24"/>
                <w:lang w:eastAsia="en-US"/>
              </w:rPr>
              <w:t>sėkmę</w:t>
            </w:r>
            <w:r w:rsidR="0034144B" w:rsidRPr="00AA3F17">
              <w:rPr>
                <w:rFonts w:eastAsia="Calibri"/>
                <w:bCs/>
                <w:iCs/>
                <w:kern w:val="2"/>
                <w:szCs w:val="24"/>
                <w:lang w:eastAsia="en-US"/>
              </w:rPr>
              <w:t>,</w:t>
            </w:r>
            <w:r w:rsidRPr="006F0F61">
              <w:rPr>
                <w:rFonts w:eastAsia="Calibri"/>
                <w:bCs/>
                <w:iCs/>
                <w:kern w:val="2"/>
                <w:szCs w:val="24"/>
                <w:lang w:eastAsia="en-US"/>
              </w:rPr>
              <w:t xml:space="preserve"> užtikrinant atnaujinto ugdymo turinio diegimą ir pasiruošimą </w:t>
            </w:r>
            <w:proofErr w:type="spellStart"/>
            <w:r w:rsidRPr="006F0F61">
              <w:rPr>
                <w:rFonts w:eastAsia="Calibri"/>
                <w:bCs/>
                <w:iCs/>
                <w:kern w:val="2"/>
                <w:szCs w:val="24"/>
                <w:lang w:eastAsia="en-US"/>
              </w:rPr>
              <w:t>įtraukiajam</w:t>
            </w:r>
            <w:proofErr w:type="spellEnd"/>
            <w:r w:rsidRPr="006F0F61">
              <w:rPr>
                <w:rFonts w:eastAsia="Calibri"/>
                <w:bCs/>
                <w:iCs/>
                <w:kern w:val="2"/>
                <w:szCs w:val="24"/>
                <w:lang w:eastAsia="en-US"/>
              </w:rPr>
              <w:t xml:space="preserve"> ugdymui 2024</w:t>
            </w:r>
            <w:r w:rsidR="00E16384">
              <w:rPr>
                <w:rFonts w:eastAsia="Calibri"/>
                <w:bCs/>
                <w:iCs/>
                <w:kern w:val="2"/>
                <w:szCs w:val="24"/>
                <w:lang w:eastAsia="en-US"/>
              </w:rPr>
              <w:t> </w:t>
            </w:r>
            <w:r w:rsidRPr="006F0F61">
              <w:rPr>
                <w:rFonts w:eastAsia="Calibri"/>
                <w:bCs/>
                <w:iCs/>
                <w:kern w:val="2"/>
                <w:szCs w:val="24"/>
                <w:lang w:eastAsia="en-US"/>
              </w:rPr>
              <w:t xml:space="preserve"> metais.</w:t>
            </w:r>
          </w:p>
        </w:tc>
      </w:tr>
    </w:tbl>
    <w:p w14:paraId="269EC90B" w14:textId="77777777" w:rsidR="006F0F61" w:rsidRDefault="006F0F61" w:rsidP="006F0F61">
      <w:pPr>
        <w:suppressAutoHyphens/>
        <w:spacing w:before="120"/>
        <w:jc w:val="center"/>
        <w:textAlignment w:val="baseline"/>
        <w:rPr>
          <w:b/>
          <w:bCs/>
          <w:szCs w:val="24"/>
        </w:rPr>
      </w:pPr>
      <w:r>
        <w:rPr>
          <w:b/>
          <w:bCs/>
          <w:szCs w:val="24"/>
        </w:rPr>
        <w:t>I SKYRIUS</w:t>
      </w:r>
    </w:p>
    <w:p w14:paraId="34938044" w14:textId="77777777" w:rsidR="006F0F61" w:rsidRDefault="006F0F61" w:rsidP="006F0F61">
      <w:pPr>
        <w:suppressAutoHyphens/>
        <w:spacing w:after="120"/>
        <w:jc w:val="center"/>
        <w:textAlignment w:val="baseline"/>
        <w:rPr>
          <w:b/>
          <w:bCs/>
          <w:szCs w:val="24"/>
        </w:rPr>
      </w:pPr>
      <w:r>
        <w:rPr>
          <w:b/>
          <w:bCs/>
          <w:szCs w:val="24"/>
        </w:rPr>
        <w:t>ĮSTAIGOS VEIKLOS PLANAVIMAS</w:t>
      </w: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6"/>
        <w:gridCol w:w="2860"/>
        <w:gridCol w:w="426"/>
        <w:gridCol w:w="1024"/>
        <w:gridCol w:w="7625"/>
        <w:gridCol w:w="236"/>
      </w:tblGrid>
      <w:tr w:rsidR="006F0F61" w:rsidRPr="006F0F61" w14:paraId="099C9B92" w14:textId="77777777" w:rsidTr="006F0F61">
        <w:trPr>
          <w:gridAfter w:val="1"/>
          <w:wAfter w:w="236" w:type="dxa"/>
          <w:trHeight w:val="70"/>
        </w:trPr>
        <w:tc>
          <w:tcPr>
            <w:tcW w:w="14601" w:type="dxa"/>
            <w:gridSpan w:val="5"/>
            <w:tcBorders>
              <w:top w:val="single" w:sz="4" w:space="0" w:color="000000"/>
              <w:left w:val="single" w:sz="4" w:space="0" w:color="auto"/>
              <w:bottom w:val="single" w:sz="4" w:space="0" w:color="auto"/>
              <w:right w:val="single" w:sz="4" w:space="0" w:color="auto"/>
            </w:tcBorders>
          </w:tcPr>
          <w:p w14:paraId="19AC7F4E" w14:textId="77777777" w:rsidR="006F0F61" w:rsidRPr="006F0F61" w:rsidRDefault="006F0F61">
            <w:pPr>
              <w:spacing w:line="256" w:lineRule="auto"/>
              <w:rPr>
                <w:b/>
                <w:bCs/>
                <w:kern w:val="2"/>
                <w:szCs w:val="24"/>
                <w:lang w:eastAsia="en-US"/>
              </w:rPr>
            </w:pPr>
          </w:p>
        </w:tc>
      </w:tr>
      <w:tr w:rsidR="006F0F61" w:rsidRPr="006F0F61" w14:paraId="616517B8" w14:textId="77777777" w:rsidTr="006F0F61">
        <w:trPr>
          <w:gridAfter w:val="1"/>
          <w:wAfter w:w="236" w:type="dxa"/>
          <w:trHeight w:val="311"/>
        </w:trPr>
        <w:tc>
          <w:tcPr>
            <w:tcW w:w="2666" w:type="dxa"/>
            <w:vMerge w:val="restart"/>
            <w:tcBorders>
              <w:top w:val="single" w:sz="4" w:space="0" w:color="auto"/>
              <w:left w:val="single" w:sz="4" w:space="0" w:color="auto"/>
              <w:bottom w:val="single" w:sz="4" w:space="0" w:color="000000"/>
              <w:right w:val="single" w:sz="4" w:space="0" w:color="auto"/>
            </w:tcBorders>
          </w:tcPr>
          <w:p w14:paraId="5808E769" w14:textId="77777777" w:rsidR="006F0F61" w:rsidRPr="006F0F61" w:rsidRDefault="006F0F61">
            <w:pPr>
              <w:spacing w:line="256" w:lineRule="auto"/>
              <w:rPr>
                <w:b/>
                <w:bCs/>
                <w:kern w:val="2"/>
                <w:szCs w:val="24"/>
                <w:lang w:eastAsia="en-US"/>
              </w:rPr>
            </w:pPr>
            <w:r w:rsidRPr="006F0F61">
              <w:rPr>
                <w:kern w:val="2"/>
                <w:szCs w:val="24"/>
                <w:lang w:eastAsia="en-US"/>
              </w:rPr>
              <w:t>Įstaigos veiklos planavimas,</w:t>
            </w:r>
            <w:r w:rsidRPr="006F0F61">
              <w:rPr>
                <w:b/>
                <w:bCs/>
                <w:kern w:val="2"/>
                <w:szCs w:val="24"/>
                <w:lang w:eastAsia="en-US"/>
              </w:rPr>
              <w:t xml:space="preserve"> </w:t>
            </w:r>
            <w:r w:rsidRPr="006F0F61">
              <w:rPr>
                <w:kern w:val="2"/>
                <w:szCs w:val="24"/>
                <w:lang w:eastAsia="en-US"/>
              </w:rPr>
              <w:t>įgyvendinimas ir tobulinimas</w:t>
            </w:r>
          </w:p>
        </w:tc>
        <w:tc>
          <w:tcPr>
            <w:tcW w:w="3286" w:type="dxa"/>
            <w:gridSpan w:val="2"/>
            <w:tcBorders>
              <w:top w:val="single" w:sz="4" w:space="0" w:color="auto"/>
              <w:left w:val="single" w:sz="4" w:space="0" w:color="auto"/>
              <w:bottom w:val="single" w:sz="4" w:space="0" w:color="auto"/>
              <w:right w:val="single" w:sz="4" w:space="0" w:color="auto"/>
            </w:tcBorders>
          </w:tcPr>
          <w:p w14:paraId="68A289E6" w14:textId="77777777" w:rsidR="006F0F61" w:rsidRPr="006F0F61" w:rsidRDefault="006F0F61">
            <w:pPr>
              <w:spacing w:line="256" w:lineRule="auto"/>
              <w:jc w:val="both"/>
              <w:rPr>
                <w:b/>
                <w:bCs/>
                <w:kern w:val="2"/>
                <w:szCs w:val="24"/>
                <w:lang w:eastAsia="en-US"/>
              </w:rPr>
            </w:pPr>
            <w:r w:rsidRPr="006F0F61">
              <w:rPr>
                <w:kern w:val="2"/>
                <w:szCs w:val="24"/>
                <w:lang w:eastAsia="en-US"/>
              </w:rPr>
              <w:t>Įstaigos strateginis planas</w:t>
            </w:r>
          </w:p>
        </w:tc>
        <w:tc>
          <w:tcPr>
            <w:tcW w:w="8649" w:type="dxa"/>
            <w:gridSpan w:val="2"/>
            <w:tcBorders>
              <w:top w:val="single" w:sz="4" w:space="0" w:color="auto"/>
              <w:left w:val="single" w:sz="4" w:space="0" w:color="auto"/>
              <w:bottom w:val="single" w:sz="4" w:space="0" w:color="auto"/>
              <w:right w:val="single" w:sz="4" w:space="0" w:color="auto"/>
            </w:tcBorders>
          </w:tcPr>
          <w:p w14:paraId="3E9125D4" w14:textId="77777777" w:rsidR="006F0F61" w:rsidRPr="006F0F61" w:rsidRDefault="006F0F61" w:rsidP="006F0F61">
            <w:pPr>
              <w:jc w:val="both"/>
              <w:rPr>
                <w:rFonts w:eastAsia="Calibri"/>
                <w:bCs/>
                <w:kern w:val="2"/>
                <w:szCs w:val="24"/>
                <w:lang w:eastAsia="en-US"/>
              </w:rPr>
            </w:pPr>
            <w:r w:rsidRPr="006F0F61">
              <w:rPr>
                <w:rFonts w:eastAsia="Calibri"/>
                <w:bCs/>
                <w:kern w:val="2"/>
                <w:szCs w:val="24"/>
                <w:lang w:eastAsia="en-US"/>
              </w:rPr>
              <w:t>Patvirtintas Jurbarko rajono savivaldybės Švietimo, kultūros ir sporto skyriaus vedėjo 2021 m. balandžio 21 d. įsakymu Nr. ŠS6-75</w:t>
            </w:r>
            <w:r>
              <w:rPr>
                <w:rFonts w:eastAsia="Calibri"/>
                <w:bCs/>
                <w:kern w:val="2"/>
                <w:szCs w:val="24"/>
                <w:lang w:eastAsia="en-US"/>
              </w:rPr>
              <w:t xml:space="preserve"> </w:t>
            </w:r>
            <w:r w:rsidRPr="006F0F61">
              <w:rPr>
                <w:rFonts w:eastAsia="Calibri"/>
                <w:bCs/>
                <w:kern w:val="2"/>
                <w:szCs w:val="24"/>
                <w:lang w:eastAsia="en-US"/>
              </w:rPr>
              <w:t>„Dėl pritarimo Jurbarko Vytauto Didžiojo progimnazijos 2021–2023 metų strateginiam planui“.</w:t>
            </w:r>
          </w:p>
        </w:tc>
      </w:tr>
      <w:tr w:rsidR="006F0F61" w:rsidRPr="006F0F61" w14:paraId="761572F9" w14:textId="77777777" w:rsidTr="006F0F61">
        <w:trPr>
          <w:gridAfter w:val="1"/>
          <w:wAfter w:w="236" w:type="dxa"/>
          <w:trHeight w:val="92"/>
        </w:trPr>
        <w:tc>
          <w:tcPr>
            <w:tcW w:w="300" w:type="dxa"/>
            <w:vMerge/>
            <w:tcBorders>
              <w:top w:val="single" w:sz="4" w:space="0" w:color="auto"/>
              <w:left w:val="single" w:sz="4" w:space="0" w:color="auto"/>
              <w:bottom w:val="single" w:sz="4" w:space="0" w:color="000000"/>
              <w:right w:val="single" w:sz="4" w:space="0" w:color="auto"/>
            </w:tcBorders>
            <w:vAlign w:val="center"/>
          </w:tcPr>
          <w:p w14:paraId="7E4BE8A6" w14:textId="77777777" w:rsidR="006F0F61" w:rsidRPr="006F0F61" w:rsidRDefault="006F0F61">
            <w:pPr>
              <w:spacing w:line="256" w:lineRule="auto"/>
              <w:rPr>
                <w:b/>
                <w:bCs/>
                <w:kern w:val="2"/>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41291D58" w14:textId="77777777" w:rsidR="006F0F61" w:rsidRPr="006F0F61" w:rsidRDefault="006F0F61">
            <w:pPr>
              <w:spacing w:line="256" w:lineRule="auto"/>
              <w:rPr>
                <w:b/>
                <w:bCs/>
                <w:color w:val="000000"/>
                <w:kern w:val="2"/>
                <w:szCs w:val="24"/>
                <w:lang w:eastAsia="en-US"/>
              </w:rPr>
            </w:pPr>
            <w:r w:rsidRPr="006F0F61">
              <w:rPr>
                <w:kern w:val="2"/>
                <w:szCs w:val="24"/>
                <w:lang w:eastAsia="en-US"/>
              </w:rPr>
              <w:t xml:space="preserve">Įstaigos </w:t>
            </w:r>
            <w:r w:rsidRPr="006F0F61">
              <w:rPr>
                <w:color w:val="000000"/>
                <w:kern w:val="2"/>
                <w:szCs w:val="24"/>
                <w:lang w:eastAsia="en-US"/>
              </w:rPr>
              <w:t>metinis veiklos planas</w:t>
            </w:r>
          </w:p>
        </w:tc>
        <w:tc>
          <w:tcPr>
            <w:tcW w:w="8649" w:type="dxa"/>
            <w:gridSpan w:val="2"/>
            <w:tcBorders>
              <w:top w:val="single" w:sz="4" w:space="0" w:color="auto"/>
              <w:left w:val="single" w:sz="4" w:space="0" w:color="auto"/>
              <w:bottom w:val="single" w:sz="4" w:space="0" w:color="auto"/>
              <w:right w:val="single" w:sz="4" w:space="0" w:color="auto"/>
            </w:tcBorders>
          </w:tcPr>
          <w:p w14:paraId="61578851" w14:textId="77777777" w:rsidR="006F0F61" w:rsidRPr="006F0F61" w:rsidRDefault="006F0F61" w:rsidP="006F0F61">
            <w:pPr>
              <w:jc w:val="both"/>
              <w:rPr>
                <w:rFonts w:eastAsia="Calibri"/>
                <w:b/>
                <w:kern w:val="2"/>
                <w:szCs w:val="24"/>
                <w:lang w:eastAsia="en-US"/>
              </w:rPr>
            </w:pPr>
            <w:r w:rsidRPr="006F0F61">
              <w:rPr>
                <w:kern w:val="2"/>
                <w:lang w:eastAsia="en-US"/>
              </w:rPr>
              <w:t>Patvirtintas 2023 m. vasario 6 d. direktoriaus įsakymu Nr. V1–58 „Dėl veiklos plano tvirtinimo“.</w:t>
            </w:r>
          </w:p>
        </w:tc>
      </w:tr>
      <w:tr w:rsidR="006F0F61" w:rsidRPr="006F0F61" w14:paraId="1A921790" w14:textId="77777777" w:rsidTr="006F0F61">
        <w:trPr>
          <w:gridAfter w:val="1"/>
          <w:wAfter w:w="236" w:type="dxa"/>
          <w:trHeight w:val="992"/>
        </w:trPr>
        <w:tc>
          <w:tcPr>
            <w:tcW w:w="300" w:type="dxa"/>
            <w:vMerge/>
            <w:tcBorders>
              <w:top w:val="single" w:sz="4" w:space="0" w:color="auto"/>
              <w:left w:val="single" w:sz="4" w:space="0" w:color="auto"/>
              <w:bottom w:val="single" w:sz="4" w:space="0" w:color="000000"/>
              <w:right w:val="single" w:sz="4" w:space="0" w:color="auto"/>
            </w:tcBorders>
            <w:vAlign w:val="center"/>
          </w:tcPr>
          <w:p w14:paraId="2FE8BBB6" w14:textId="77777777" w:rsidR="006F0F61" w:rsidRPr="006F0F61" w:rsidRDefault="006F0F61">
            <w:pPr>
              <w:spacing w:line="256" w:lineRule="auto"/>
              <w:rPr>
                <w:b/>
                <w:bCs/>
                <w:kern w:val="2"/>
                <w:szCs w:val="24"/>
                <w:lang w:eastAsia="en-US"/>
              </w:rPr>
            </w:pPr>
          </w:p>
        </w:tc>
        <w:tc>
          <w:tcPr>
            <w:tcW w:w="3286" w:type="dxa"/>
            <w:gridSpan w:val="2"/>
            <w:tcBorders>
              <w:top w:val="single" w:sz="4" w:space="0" w:color="auto"/>
              <w:left w:val="single" w:sz="4" w:space="0" w:color="auto"/>
              <w:bottom w:val="single" w:sz="4" w:space="0" w:color="000000"/>
              <w:right w:val="single" w:sz="4" w:space="0" w:color="auto"/>
            </w:tcBorders>
          </w:tcPr>
          <w:p w14:paraId="0E75F556" w14:textId="77777777" w:rsidR="006F0F61" w:rsidRPr="006F0F61" w:rsidRDefault="006F0F61">
            <w:pPr>
              <w:spacing w:line="256" w:lineRule="auto"/>
              <w:jc w:val="both"/>
              <w:rPr>
                <w:b/>
                <w:bCs/>
                <w:kern w:val="2"/>
                <w:szCs w:val="24"/>
                <w:lang w:eastAsia="en-US"/>
              </w:rPr>
            </w:pPr>
            <w:r w:rsidRPr="006F0F61">
              <w:rPr>
                <w:kern w:val="2"/>
                <w:szCs w:val="24"/>
                <w:lang w:eastAsia="en-US"/>
              </w:rPr>
              <w:t>2023 metų įstaigos pagrindiniai veiklos tikslai</w:t>
            </w:r>
          </w:p>
        </w:tc>
        <w:tc>
          <w:tcPr>
            <w:tcW w:w="8649" w:type="dxa"/>
            <w:gridSpan w:val="2"/>
            <w:tcBorders>
              <w:top w:val="single" w:sz="4" w:space="0" w:color="auto"/>
              <w:left w:val="single" w:sz="4" w:space="0" w:color="auto"/>
              <w:bottom w:val="single" w:sz="4" w:space="0" w:color="000000"/>
              <w:right w:val="single" w:sz="4" w:space="0" w:color="auto"/>
            </w:tcBorders>
          </w:tcPr>
          <w:p w14:paraId="5E518AE7" w14:textId="77777777" w:rsidR="006F0F61" w:rsidRPr="006F0F61" w:rsidRDefault="006F0F61" w:rsidP="006F0F61">
            <w:pPr>
              <w:pStyle w:val="Sraopastraipa"/>
              <w:numPr>
                <w:ilvl w:val="0"/>
                <w:numId w:val="9"/>
              </w:numPr>
              <w:tabs>
                <w:tab w:val="left" w:pos="0"/>
                <w:tab w:val="left" w:pos="461"/>
              </w:tabs>
              <w:ind w:left="0" w:firstLine="0"/>
              <w:jc w:val="both"/>
              <w:rPr>
                <w:kern w:val="2"/>
                <w:szCs w:val="24"/>
                <w:lang w:eastAsia="en-US"/>
              </w:rPr>
            </w:pPr>
            <w:r w:rsidRPr="006F0F61">
              <w:rPr>
                <w:kern w:val="2"/>
                <w:szCs w:val="24"/>
                <w:lang w:eastAsia="en-US"/>
              </w:rPr>
              <w:t>Pagerinti mokinių ugdymosi pasiekimus, įgyv</w:t>
            </w:r>
            <w:r>
              <w:rPr>
                <w:kern w:val="2"/>
                <w:szCs w:val="24"/>
                <w:lang w:eastAsia="en-US"/>
              </w:rPr>
              <w:t>endinant projekto „</w:t>
            </w:r>
            <w:r w:rsidRPr="006F0F61">
              <w:rPr>
                <w:kern w:val="2"/>
                <w:szCs w:val="24"/>
                <w:lang w:eastAsia="en-US"/>
              </w:rPr>
              <w:t>Kokybės krepšelis“ progimnazijos veiklos tobulinimo planą.</w:t>
            </w:r>
          </w:p>
          <w:p w14:paraId="794AB5A1" w14:textId="77777777" w:rsidR="006F0F61" w:rsidRPr="006F0F61" w:rsidRDefault="006F0F61" w:rsidP="006F0F61">
            <w:pPr>
              <w:pStyle w:val="Sraopastraipa"/>
              <w:numPr>
                <w:ilvl w:val="0"/>
                <w:numId w:val="9"/>
              </w:numPr>
              <w:tabs>
                <w:tab w:val="left" w:pos="461"/>
              </w:tabs>
              <w:ind w:left="0" w:firstLine="0"/>
              <w:jc w:val="both"/>
              <w:rPr>
                <w:kern w:val="2"/>
                <w:szCs w:val="24"/>
                <w:lang w:eastAsia="en-US"/>
              </w:rPr>
            </w:pPr>
            <w:r w:rsidRPr="006F0F61">
              <w:rPr>
                <w:kern w:val="2"/>
                <w:szCs w:val="24"/>
                <w:lang w:eastAsia="en-US"/>
              </w:rPr>
              <w:t>Pasiruošti įtraukiajam ugdymui – kokybiškam kiekvieno mokinio ugdymui pagal kiekvieno vaiko ugdymosi galias ir poreikius. Šviesti progimnazijos bendruomenę apie skirtingus mokymosi poreikius, mokyti komunikuoti su skirtingų poreikių turinčiais vaikais.</w:t>
            </w:r>
          </w:p>
          <w:p w14:paraId="4226C90A" w14:textId="77777777" w:rsidR="006F0F61" w:rsidRPr="006F0F61" w:rsidRDefault="006F0F61" w:rsidP="006F0F61">
            <w:pPr>
              <w:pStyle w:val="Sraopastraipa"/>
              <w:numPr>
                <w:ilvl w:val="0"/>
                <w:numId w:val="9"/>
              </w:numPr>
              <w:tabs>
                <w:tab w:val="left" w:pos="461"/>
              </w:tabs>
              <w:ind w:left="0" w:firstLine="0"/>
              <w:jc w:val="both"/>
              <w:rPr>
                <w:kern w:val="2"/>
                <w:szCs w:val="24"/>
                <w:lang w:eastAsia="en-US"/>
              </w:rPr>
            </w:pPr>
            <w:r w:rsidRPr="006F0F61">
              <w:rPr>
                <w:kern w:val="2"/>
                <w:szCs w:val="24"/>
                <w:lang w:eastAsia="en-US"/>
              </w:rPr>
              <w:lastRenderedPageBreak/>
              <w:t>Keisti visos progimnazijos bendruomenės nuostatas, kultūrą, galvojant apie kiekvieno vaiko individualiems poreikiams pritaikytą ugdymo aplinką, ugdymo būdus ir priemones.</w:t>
            </w:r>
          </w:p>
          <w:p w14:paraId="64FB5FAB" w14:textId="77777777" w:rsidR="006F0F61" w:rsidRPr="006F0F61" w:rsidRDefault="006F0F61" w:rsidP="006F0F61">
            <w:pPr>
              <w:pStyle w:val="Sraopastraipa"/>
              <w:numPr>
                <w:ilvl w:val="0"/>
                <w:numId w:val="9"/>
              </w:numPr>
              <w:tabs>
                <w:tab w:val="left" w:pos="461"/>
              </w:tabs>
              <w:ind w:left="0" w:firstLine="0"/>
              <w:jc w:val="both"/>
              <w:rPr>
                <w:kern w:val="2"/>
                <w:szCs w:val="24"/>
                <w:lang w:eastAsia="en-US"/>
              </w:rPr>
            </w:pPr>
            <w:r w:rsidRPr="006F0F61">
              <w:rPr>
                <w:kern w:val="2"/>
                <w:szCs w:val="24"/>
                <w:lang w:eastAsia="en-US"/>
              </w:rPr>
              <w:t>Stiprinti progimnazijos bendruomenės komandinį darbą, gerinti viešųjų ryšių kokybę.</w:t>
            </w:r>
          </w:p>
        </w:tc>
      </w:tr>
      <w:tr w:rsidR="006F0F61" w:rsidRPr="006F0F61" w14:paraId="717793FE" w14:textId="77777777" w:rsidTr="006F0F61">
        <w:trPr>
          <w:gridAfter w:val="1"/>
          <w:wAfter w:w="236" w:type="dxa"/>
          <w:trHeight w:val="861"/>
        </w:trPr>
        <w:tc>
          <w:tcPr>
            <w:tcW w:w="300" w:type="dxa"/>
            <w:vMerge/>
            <w:tcBorders>
              <w:top w:val="single" w:sz="4" w:space="0" w:color="auto"/>
              <w:left w:val="single" w:sz="4" w:space="0" w:color="auto"/>
              <w:bottom w:val="single" w:sz="4" w:space="0" w:color="000000"/>
              <w:right w:val="single" w:sz="4" w:space="0" w:color="auto"/>
            </w:tcBorders>
            <w:vAlign w:val="center"/>
          </w:tcPr>
          <w:p w14:paraId="719EAD20" w14:textId="77777777" w:rsidR="006F0F61" w:rsidRPr="006F0F61" w:rsidRDefault="006F0F61" w:rsidP="006F0F61">
            <w:pPr>
              <w:rPr>
                <w:b/>
                <w:bCs/>
                <w:kern w:val="2"/>
                <w:szCs w:val="24"/>
                <w:lang w:eastAsia="en-US"/>
              </w:rPr>
            </w:pPr>
          </w:p>
        </w:tc>
        <w:tc>
          <w:tcPr>
            <w:tcW w:w="3286" w:type="dxa"/>
            <w:gridSpan w:val="2"/>
            <w:tcBorders>
              <w:top w:val="single" w:sz="4" w:space="0" w:color="auto"/>
              <w:left w:val="single" w:sz="4" w:space="0" w:color="auto"/>
              <w:bottom w:val="single" w:sz="4" w:space="0" w:color="000000"/>
              <w:right w:val="single" w:sz="4" w:space="0" w:color="auto"/>
            </w:tcBorders>
          </w:tcPr>
          <w:p w14:paraId="6F649F35" w14:textId="77777777" w:rsidR="006F0F61" w:rsidRPr="006F0F61" w:rsidRDefault="006F0F61" w:rsidP="006F0F61">
            <w:pPr>
              <w:jc w:val="both"/>
              <w:rPr>
                <w:bCs/>
                <w:kern w:val="2"/>
                <w:szCs w:val="24"/>
                <w:lang w:eastAsia="en-US"/>
              </w:rPr>
            </w:pPr>
            <w:r w:rsidRPr="006F0F61">
              <w:rPr>
                <w:kern w:val="2"/>
                <w:szCs w:val="24"/>
                <w:lang w:eastAsia="en-US"/>
              </w:rPr>
              <w:t>2022–2023 mokslo metų (arba 2023 metų) įstaigos pagrindinių veiklos tikslų įgyvendinimo (veiklos tobulinimo) perspektyvos</w:t>
            </w:r>
          </w:p>
        </w:tc>
        <w:tc>
          <w:tcPr>
            <w:tcW w:w="8649" w:type="dxa"/>
            <w:gridSpan w:val="2"/>
            <w:tcBorders>
              <w:top w:val="single" w:sz="4" w:space="0" w:color="auto"/>
              <w:left w:val="single" w:sz="4" w:space="0" w:color="auto"/>
              <w:bottom w:val="single" w:sz="4" w:space="0" w:color="000000"/>
              <w:right w:val="single" w:sz="4" w:space="0" w:color="auto"/>
            </w:tcBorders>
          </w:tcPr>
          <w:p w14:paraId="023C9464" w14:textId="77777777" w:rsidR="006F0F61" w:rsidRPr="006F0F61" w:rsidRDefault="006F0F61" w:rsidP="006F0F61">
            <w:pPr>
              <w:pStyle w:val="Sraopastraipa"/>
              <w:numPr>
                <w:ilvl w:val="0"/>
                <w:numId w:val="10"/>
              </w:numPr>
              <w:tabs>
                <w:tab w:val="left" w:pos="459"/>
                <w:tab w:val="left" w:pos="1560"/>
              </w:tabs>
              <w:ind w:left="0" w:firstLine="0"/>
              <w:jc w:val="both"/>
              <w:rPr>
                <w:kern w:val="2"/>
                <w:szCs w:val="24"/>
                <w:lang w:eastAsia="en-US"/>
              </w:rPr>
            </w:pPr>
            <w:r w:rsidRPr="006F0F61">
              <w:rPr>
                <w:kern w:val="2"/>
                <w:szCs w:val="24"/>
                <w:lang w:eastAsia="en-US"/>
              </w:rPr>
              <w:t xml:space="preserve">Nuosekliau stebėti, analizuoti individualią mokinių pažangą ir pasiekimus pamokoje, sugrįžti prie uždavinio </w:t>
            </w:r>
            <w:r w:rsidRPr="00AA3F17">
              <w:rPr>
                <w:kern w:val="2"/>
                <w:szCs w:val="24"/>
                <w:lang w:eastAsia="en-US"/>
              </w:rPr>
              <w:t>aptarimo</w:t>
            </w:r>
            <w:r w:rsidR="0034144B" w:rsidRPr="00AA3F17">
              <w:rPr>
                <w:kern w:val="2"/>
                <w:szCs w:val="24"/>
                <w:lang w:eastAsia="en-US"/>
              </w:rPr>
              <w:t>,</w:t>
            </w:r>
            <w:r w:rsidRPr="00AA3F17">
              <w:rPr>
                <w:kern w:val="2"/>
                <w:szCs w:val="24"/>
                <w:lang w:eastAsia="en-US"/>
              </w:rPr>
              <w:t xml:space="preserve"> įtraukiant</w:t>
            </w:r>
            <w:r w:rsidRPr="006F0F61">
              <w:rPr>
                <w:kern w:val="2"/>
                <w:szCs w:val="24"/>
                <w:lang w:eastAsia="en-US"/>
              </w:rPr>
              <w:t xml:space="preserve"> mokinius į asmeninių pasiekimų, pažangos ir mokymosi lūkesčių analizę. Tikėtina, kad tikslingas mokinių į(</w:t>
            </w:r>
            <w:proofErr w:type="spellStart"/>
            <w:r w:rsidRPr="006F0F61">
              <w:rPr>
                <w:kern w:val="2"/>
                <w:szCs w:val="24"/>
                <w:lang w:eastAsia="en-US"/>
              </w:rPr>
              <w:t>si</w:t>
            </w:r>
            <w:proofErr w:type="spellEnd"/>
            <w:r w:rsidRPr="006F0F61">
              <w:rPr>
                <w:kern w:val="2"/>
                <w:szCs w:val="24"/>
                <w:lang w:eastAsia="en-US"/>
              </w:rPr>
              <w:t>)traukimas į įsivertinimą, pasiektų rezultatų apmąstymas</w:t>
            </w:r>
            <w:r>
              <w:rPr>
                <w:kern w:val="2"/>
                <w:szCs w:val="24"/>
                <w:lang w:eastAsia="en-US"/>
              </w:rPr>
              <w:t>,</w:t>
            </w:r>
            <w:r w:rsidRPr="006F0F61">
              <w:rPr>
                <w:kern w:val="2"/>
                <w:szCs w:val="24"/>
                <w:lang w:eastAsia="en-US"/>
              </w:rPr>
              <w:t xml:space="preserve"> darys teigiamą poveikį mokinių asmeninės pažangos augimui, skatins prisiimti daugiau atsakomybės už savo mokymąsi.</w:t>
            </w:r>
          </w:p>
          <w:p w14:paraId="6915759A" w14:textId="77777777" w:rsidR="006F0F61" w:rsidRPr="006F0F61" w:rsidRDefault="006F0F61" w:rsidP="006F0F61">
            <w:pPr>
              <w:pStyle w:val="Sraopastraipa"/>
              <w:numPr>
                <w:ilvl w:val="0"/>
                <w:numId w:val="10"/>
              </w:numPr>
              <w:tabs>
                <w:tab w:val="left" w:pos="459"/>
                <w:tab w:val="left" w:pos="1560"/>
              </w:tabs>
              <w:ind w:left="0" w:firstLine="0"/>
              <w:jc w:val="both"/>
              <w:rPr>
                <w:kern w:val="2"/>
                <w:szCs w:val="24"/>
                <w:lang w:eastAsia="en-US"/>
              </w:rPr>
            </w:pPr>
            <w:r w:rsidRPr="006F0F61">
              <w:rPr>
                <w:kern w:val="2"/>
                <w:szCs w:val="24"/>
                <w:lang w:eastAsia="en-US"/>
              </w:rPr>
              <w:t>Tęsti ir plėtoti sėkminga</w:t>
            </w:r>
            <w:r>
              <w:rPr>
                <w:kern w:val="2"/>
                <w:szCs w:val="24"/>
                <w:lang w:eastAsia="en-US"/>
              </w:rPr>
              <w:t xml:space="preserve">s projekto ,,Kokybės krepšelis“ </w:t>
            </w:r>
            <w:r w:rsidRPr="006F0F61">
              <w:rPr>
                <w:kern w:val="2"/>
                <w:szCs w:val="24"/>
                <w:lang w:eastAsia="en-US"/>
              </w:rPr>
              <w:t>veiklas, keičiančias Progimnazijos aplinką, mokymo(</w:t>
            </w:r>
            <w:proofErr w:type="spellStart"/>
            <w:r w:rsidRPr="006F0F61">
              <w:rPr>
                <w:kern w:val="2"/>
                <w:szCs w:val="24"/>
                <w:lang w:eastAsia="en-US"/>
              </w:rPr>
              <w:t>si</w:t>
            </w:r>
            <w:proofErr w:type="spellEnd"/>
            <w:r w:rsidRPr="006F0F61">
              <w:rPr>
                <w:kern w:val="2"/>
                <w:szCs w:val="24"/>
                <w:lang w:eastAsia="en-US"/>
              </w:rPr>
              <w:t>) sąlygas, skatinančias bendruomenės susitelkimą ir bendradarbiavimą, siekti jų sistemingumo bei efektyvumo planuojant ir įgyvendinant „Tūkstantmečio mokyklų“ programą.</w:t>
            </w:r>
          </w:p>
          <w:p w14:paraId="774D7467" w14:textId="77777777" w:rsidR="006F0F61" w:rsidRPr="006F0F61" w:rsidRDefault="006F0F61" w:rsidP="006F0F61">
            <w:pPr>
              <w:pStyle w:val="Sraopastraipa"/>
              <w:numPr>
                <w:ilvl w:val="0"/>
                <w:numId w:val="10"/>
              </w:numPr>
              <w:tabs>
                <w:tab w:val="left" w:pos="459"/>
                <w:tab w:val="left" w:pos="1560"/>
              </w:tabs>
              <w:ind w:left="0" w:firstLine="0"/>
              <w:jc w:val="both"/>
              <w:rPr>
                <w:kern w:val="2"/>
                <w:szCs w:val="24"/>
                <w:lang w:eastAsia="en-US"/>
              </w:rPr>
            </w:pPr>
            <w:r w:rsidRPr="006F0F61">
              <w:rPr>
                <w:kern w:val="2"/>
                <w:szCs w:val="24"/>
                <w:lang w:eastAsia="en-US"/>
              </w:rPr>
              <w:t>Sustiprinti veiklos kokybės įsivertinimo procesą kaip nuolatinį, nenutrūkstamą, duomenimis grįstą reflektavimo įrankį, įtraukiantį Progimnazijos bendruomenės narius bei siekti planavimo dermės Progimnazijoje.</w:t>
            </w:r>
          </w:p>
        </w:tc>
      </w:tr>
      <w:tr w:rsidR="006F0F61" w:rsidRPr="006F0F61" w14:paraId="3C153AEA" w14:textId="77777777" w:rsidTr="006F0F61">
        <w:trPr>
          <w:gridAfter w:val="1"/>
          <w:wAfter w:w="236" w:type="dxa"/>
          <w:trHeight w:val="278"/>
        </w:trPr>
        <w:tc>
          <w:tcPr>
            <w:tcW w:w="2666" w:type="dxa"/>
            <w:vMerge w:val="restart"/>
            <w:tcBorders>
              <w:top w:val="single" w:sz="4" w:space="0" w:color="auto"/>
              <w:left w:val="single" w:sz="4" w:space="0" w:color="auto"/>
              <w:bottom w:val="single" w:sz="4" w:space="0" w:color="auto"/>
              <w:right w:val="single" w:sz="4" w:space="0" w:color="auto"/>
            </w:tcBorders>
          </w:tcPr>
          <w:p w14:paraId="13756BCA" w14:textId="77777777" w:rsidR="006F0F61" w:rsidRPr="006F0F61" w:rsidRDefault="006F0F61" w:rsidP="006F0F61">
            <w:pPr>
              <w:rPr>
                <w:kern w:val="2"/>
                <w:szCs w:val="24"/>
                <w:lang w:eastAsia="en-US"/>
              </w:rPr>
            </w:pPr>
            <w:r w:rsidRPr="006F0F61">
              <w:rPr>
                <w:kern w:val="2"/>
                <w:szCs w:val="24"/>
                <w:lang w:eastAsia="en-US"/>
              </w:rPr>
              <w:t xml:space="preserve">Formalusis ir neformalusis švietimas bei projektinė veikla </w:t>
            </w:r>
          </w:p>
          <w:p w14:paraId="1AB4E93F" w14:textId="77777777" w:rsidR="006F0F61" w:rsidRPr="006F0F61" w:rsidRDefault="006F0F61" w:rsidP="006F0F61">
            <w:pPr>
              <w:rPr>
                <w:kern w:val="2"/>
                <w:szCs w:val="24"/>
                <w:lang w:eastAsia="en-US"/>
              </w:rPr>
            </w:pPr>
          </w:p>
          <w:p w14:paraId="2964C698" w14:textId="77777777" w:rsidR="006F0F61" w:rsidRPr="006F0F61" w:rsidRDefault="006F0F61" w:rsidP="006F0F61">
            <w:pPr>
              <w:rPr>
                <w:b/>
                <w:bCs/>
                <w:kern w:val="2"/>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1A236B3F" w14:textId="77777777" w:rsidR="006F0F61" w:rsidRPr="006F0F61" w:rsidRDefault="006F0F61" w:rsidP="006F0F61">
            <w:pPr>
              <w:jc w:val="both"/>
              <w:rPr>
                <w:kern w:val="2"/>
                <w:szCs w:val="24"/>
                <w:lang w:eastAsia="en-US"/>
              </w:rPr>
            </w:pPr>
            <w:r w:rsidRPr="006F0F61">
              <w:rPr>
                <w:kern w:val="2"/>
                <w:szCs w:val="24"/>
                <w:lang w:eastAsia="en-US"/>
              </w:rPr>
              <w:t>2022–2023 ir 2023–2024 mokslo metų ugdymo planų suderinimas ir patvirtinimas</w:t>
            </w:r>
          </w:p>
        </w:tc>
        <w:tc>
          <w:tcPr>
            <w:tcW w:w="8649" w:type="dxa"/>
            <w:gridSpan w:val="2"/>
            <w:tcBorders>
              <w:top w:val="single" w:sz="4" w:space="0" w:color="auto"/>
              <w:left w:val="single" w:sz="4" w:space="0" w:color="auto"/>
              <w:bottom w:val="single" w:sz="4" w:space="0" w:color="000000"/>
              <w:right w:val="single" w:sz="4" w:space="0" w:color="auto"/>
            </w:tcBorders>
          </w:tcPr>
          <w:p w14:paraId="5BD601F0" w14:textId="17D86550" w:rsidR="006F0F61" w:rsidRPr="006F0F61" w:rsidRDefault="006F0F61" w:rsidP="006F0F61">
            <w:pPr>
              <w:jc w:val="both"/>
              <w:rPr>
                <w:color w:val="FF0000"/>
                <w:kern w:val="2"/>
                <w:szCs w:val="24"/>
                <w:lang w:eastAsia="en-US"/>
              </w:rPr>
            </w:pPr>
            <w:r w:rsidRPr="006F0F61">
              <w:rPr>
                <w:kern w:val="2"/>
                <w:szCs w:val="24"/>
                <w:lang w:eastAsia="en-US"/>
              </w:rPr>
              <w:t>2023 m. rugpjūčio 29 d. Jurbarko rajono savivaldybės administracijos direktoriaus įsakymu Nr. O1-2.1-746 „Dėl Jurbarko Vytauto Didžiojo progimnazijos 2023–2024</w:t>
            </w:r>
            <w:r w:rsidR="00E16384">
              <w:rPr>
                <w:kern w:val="2"/>
                <w:szCs w:val="24"/>
                <w:lang w:eastAsia="en-US"/>
              </w:rPr>
              <w:t xml:space="preserve">  </w:t>
            </w:r>
            <w:r w:rsidRPr="006F0F61">
              <w:rPr>
                <w:kern w:val="2"/>
                <w:szCs w:val="24"/>
                <w:lang w:eastAsia="en-US"/>
              </w:rPr>
              <w:t xml:space="preserve"> mokslo metų pradinio ir pagrindinio ugdymo (pirmos dalies) programų ugdymo plano projekto derinimo“.</w:t>
            </w:r>
          </w:p>
        </w:tc>
      </w:tr>
      <w:tr w:rsidR="006F0F61" w:rsidRPr="006F0F61" w14:paraId="6EDE517E" w14:textId="77777777" w:rsidTr="006F0F61">
        <w:trPr>
          <w:gridAfter w:val="1"/>
          <w:wAfter w:w="236" w:type="dxa"/>
          <w:trHeight w:val="277"/>
        </w:trPr>
        <w:tc>
          <w:tcPr>
            <w:tcW w:w="300" w:type="dxa"/>
            <w:vMerge/>
            <w:tcBorders>
              <w:top w:val="single" w:sz="4" w:space="0" w:color="auto"/>
              <w:left w:val="single" w:sz="4" w:space="0" w:color="auto"/>
              <w:bottom w:val="single" w:sz="4" w:space="0" w:color="auto"/>
              <w:right w:val="single" w:sz="4" w:space="0" w:color="auto"/>
            </w:tcBorders>
            <w:vAlign w:val="center"/>
          </w:tcPr>
          <w:p w14:paraId="1581FDF9" w14:textId="77777777" w:rsidR="006F0F61" w:rsidRPr="006F0F61" w:rsidRDefault="006F0F61" w:rsidP="006F0F61">
            <w:pPr>
              <w:rPr>
                <w:b/>
                <w:bCs/>
                <w:kern w:val="2"/>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36F90091" w14:textId="77777777" w:rsidR="006F0F61" w:rsidRPr="006F0F61" w:rsidRDefault="006F0F61" w:rsidP="006F0F61">
            <w:pPr>
              <w:jc w:val="both"/>
              <w:rPr>
                <w:color w:val="000000"/>
                <w:kern w:val="2"/>
                <w:szCs w:val="24"/>
                <w:lang w:eastAsia="en-US"/>
              </w:rPr>
            </w:pPr>
            <w:r w:rsidRPr="006F0F61">
              <w:rPr>
                <w:color w:val="000000"/>
                <w:kern w:val="2"/>
                <w:szCs w:val="24"/>
                <w:lang w:eastAsia="en-US"/>
              </w:rPr>
              <w:t xml:space="preserve">2022–2023 mokslo metų bendrojo ugdymo planų įgyvendinimas, problemos, sėkmės ir pokyčiai (palyginimas su 2021–2022 mokslo metais) </w:t>
            </w:r>
          </w:p>
        </w:tc>
        <w:tc>
          <w:tcPr>
            <w:tcW w:w="8649" w:type="dxa"/>
            <w:gridSpan w:val="2"/>
            <w:tcBorders>
              <w:top w:val="single" w:sz="4" w:space="0" w:color="000000"/>
              <w:left w:val="single" w:sz="4" w:space="0" w:color="auto"/>
              <w:bottom w:val="single" w:sz="4" w:space="0" w:color="auto"/>
              <w:right w:val="single" w:sz="4" w:space="0" w:color="auto"/>
            </w:tcBorders>
          </w:tcPr>
          <w:p w14:paraId="09977C9E" w14:textId="7643FF30" w:rsidR="006F0F61" w:rsidRPr="006F0F61" w:rsidRDefault="006F0F61" w:rsidP="006F0F61">
            <w:pPr>
              <w:jc w:val="both"/>
              <w:rPr>
                <w:rFonts w:eastAsia="Calibri"/>
                <w:kern w:val="2"/>
                <w:szCs w:val="24"/>
                <w:lang w:eastAsia="en-US"/>
              </w:rPr>
            </w:pPr>
            <w:r>
              <w:rPr>
                <w:rFonts w:eastAsia="Calibri"/>
                <w:kern w:val="2"/>
                <w:szCs w:val="24"/>
                <w:lang w:eastAsia="en-US"/>
              </w:rPr>
              <w:t>2022–2023 m. m. 1–</w:t>
            </w:r>
            <w:r w:rsidRPr="006F0F61">
              <w:rPr>
                <w:rFonts w:eastAsia="Calibri"/>
                <w:kern w:val="2"/>
                <w:szCs w:val="24"/>
                <w:lang w:eastAsia="en-US"/>
              </w:rPr>
              <w:t>4 klasių mokiniai b</w:t>
            </w:r>
            <w:r>
              <w:rPr>
                <w:rFonts w:eastAsia="Calibri"/>
                <w:kern w:val="2"/>
                <w:szCs w:val="24"/>
                <w:lang w:eastAsia="en-US"/>
              </w:rPr>
              <w:t>aigė 100 proc. pažangumu ( 2021–</w:t>
            </w:r>
            <w:r w:rsidRPr="006F0F61">
              <w:rPr>
                <w:rFonts w:eastAsia="Calibri"/>
                <w:kern w:val="2"/>
                <w:szCs w:val="24"/>
                <w:lang w:eastAsia="en-US"/>
              </w:rPr>
              <w:t>2022 m. 100</w:t>
            </w:r>
            <w:r w:rsidR="00E16384">
              <w:rPr>
                <w:rFonts w:eastAsia="Calibri"/>
                <w:kern w:val="2"/>
                <w:szCs w:val="24"/>
                <w:lang w:eastAsia="en-US"/>
              </w:rPr>
              <w:t xml:space="preserve">  </w:t>
            </w:r>
            <w:r w:rsidRPr="006F0F61">
              <w:rPr>
                <w:rFonts w:eastAsia="Calibri"/>
                <w:kern w:val="2"/>
                <w:szCs w:val="24"/>
                <w:lang w:eastAsia="en-US"/>
              </w:rPr>
              <w:t xml:space="preserve"> proc. pažangumu). 16,29 proc. mokinių mokslo metus baigė besimokydam</w:t>
            </w:r>
            <w:r>
              <w:rPr>
                <w:rFonts w:eastAsia="Calibri"/>
                <w:kern w:val="2"/>
                <w:szCs w:val="24"/>
                <w:lang w:eastAsia="en-US"/>
              </w:rPr>
              <w:t>i aukštesniuoju pasiekimų lygiu, 57 proc. –</w:t>
            </w:r>
            <w:r w:rsidRPr="006F0F61">
              <w:rPr>
                <w:rFonts w:eastAsia="Calibri"/>
                <w:kern w:val="2"/>
                <w:szCs w:val="24"/>
                <w:lang w:eastAsia="en-US"/>
              </w:rPr>
              <w:t xml:space="preserve"> pagrindiniu. Pagrindinį ir aukštesnįjį mokymos</w:t>
            </w:r>
            <w:r>
              <w:rPr>
                <w:rFonts w:eastAsia="Calibri"/>
                <w:kern w:val="2"/>
                <w:szCs w:val="24"/>
                <w:lang w:eastAsia="en-US"/>
              </w:rPr>
              <w:t>i lygį pasiekė 73 proc. mokinių (2021–</w:t>
            </w:r>
            <w:r w:rsidRPr="006F0F61">
              <w:rPr>
                <w:rFonts w:eastAsia="Calibri"/>
                <w:kern w:val="2"/>
                <w:szCs w:val="24"/>
                <w:lang w:eastAsia="en-US"/>
              </w:rPr>
              <w:t>2022 m. m</w:t>
            </w:r>
            <w:r>
              <w:rPr>
                <w:rFonts w:eastAsia="Calibri"/>
                <w:kern w:val="2"/>
                <w:szCs w:val="24"/>
                <w:lang w:eastAsia="en-US"/>
              </w:rPr>
              <w:t>. – 64 proc. ). 2022–</w:t>
            </w:r>
            <w:r w:rsidRPr="006F0F61">
              <w:rPr>
                <w:rFonts w:eastAsia="Calibri"/>
                <w:kern w:val="2"/>
                <w:szCs w:val="24"/>
                <w:lang w:eastAsia="en-US"/>
              </w:rPr>
              <w:t>2023 m. m. vienam mokiniui teko 100 praleistų pamokų ir</w:t>
            </w:r>
            <w:r>
              <w:rPr>
                <w:rFonts w:eastAsia="Calibri"/>
                <w:kern w:val="2"/>
                <w:szCs w:val="24"/>
                <w:lang w:eastAsia="en-US"/>
              </w:rPr>
              <w:t xml:space="preserve"> 1,7 nepateisintų pamokų</w:t>
            </w:r>
            <w:r>
              <w:rPr>
                <w:rFonts w:eastAsia="Calibri"/>
                <w:kern w:val="2"/>
                <w:szCs w:val="24"/>
                <w:lang w:eastAsia="en-US"/>
              </w:rPr>
              <w:br/>
              <w:t>(2021–</w:t>
            </w:r>
            <w:r w:rsidRPr="006F0F61">
              <w:rPr>
                <w:rFonts w:eastAsia="Calibri"/>
                <w:kern w:val="2"/>
                <w:szCs w:val="24"/>
                <w:lang w:eastAsia="en-US"/>
              </w:rPr>
              <w:t>2022 m. m. atitinkamai 106 ir 0.7). Pradinio ugdymo p</w:t>
            </w:r>
            <w:r>
              <w:rPr>
                <w:rFonts w:eastAsia="Calibri"/>
                <w:kern w:val="2"/>
                <w:szCs w:val="24"/>
                <w:lang w:eastAsia="en-US"/>
              </w:rPr>
              <w:t>rogramą baigė 42 mokiniai (2021–</w:t>
            </w:r>
            <w:r w:rsidRPr="006F0F61">
              <w:rPr>
                <w:rFonts w:eastAsia="Calibri"/>
                <w:kern w:val="2"/>
                <w:szCs w:val="24"/>
                <w:lang w:eastAsia="en-US"/>
              </w:rPr>
              <w:t>2022 m. m. – 40 mokinių).</w:t>
            </w:r>
          </w:p>
          <w:p w14:paraId="139466E2" w14:textId="7D6FE92B" w:rsidR="006F0F61" w:rsidRDefault="006F0F61" w:rsidP="006F0F61">
            <w:pPr>
              <w:jc w:val="both"/>
              <w:rPr>
                <w:rFonts w:eastAsia="Calibri"/>
                <w:kern w:val="2"/>
                <w:szCs w:val="24"/>
                <w:lang w:eastAsia="en-US"/>
              </w:rPr>
            </w:pPr>
            <w:r>
              <w:rPr>
                <w:kern w:val="2"/>
                <w:szCs w:val="24"/>
                <w:lang w:eastAsia="en-US"/>
              </w:rPr>
              <w:t>2022–2023 m. m. 5–</w:t>
            </w:r>
            <w:r w:rsidRPr="006F0F61">
              <w:rPr>
                <w:kern w:val="2"/>
                <w:szCs w:val="24"/>
                <w:lang w:eastAsia="en-US"/>
              </w:rPr>
              <w:t>8 klasių mokiniai b</w:t>
            </w:r>
            <w:r>
              <w:rPr>
                <w:kern w:val="2"/>
                <w:szCs w:val="24"/>
                <w:lang w:eastAsia="en-US"/>
              </w:rPr>
              <w:t>aigė 100 proc. pažangumu (2021–</w:t>
            </w:r>
            <w:r w:rsidRPr="006F0F61">
              <w:rPr>
                <w:kern w:val="2"/>
                <w:szCs w:val="24"/>
                <w:lang w:eastAsia="en-US"/>
              </w:rPr>
              <w:t>2022 m. m. – 100 proc.). Mokinių mokymosi kokybė 62,2 proc., 13,8 pro</w:t>
            </w:r>
            <w:r>
              <w:rPr>
                <w:kern w:val="2"/>
                <w:szCs w:val="24"/>
                <w:lang w:eastAsia="en-US"/>
              </w:rPr>
              <w:t>c. mokinių baigė besimokydami 9–10 (2021–</w:t>
            </w:r>
            <w:r w:rsidRPr="006F0F61">
              <w:rPr>
                <w:kern w:val="2"/>
                <w:szCs w:val="24"/>
                <w:lang w:eastAsia="en-US"/>
              </w:rPr>
              <w:t>2022 m. m. mokymosi kokybė bu</w:t>
            </w:r>
            <w:r>
              <w:rPr>
                <w:kern w:val="2"/>
                <w:szCs w:val="24"/>
                <w:lang w:eastAsia="en-US"/>
              </w:rPr>
              <w:t>vo 59 proc., 12,3 proc. baigė 9–10). 2022–</w:t>
            </w:r>
            <w:r w:rsidRPr="006F0F61">
              <w:rPr>
                <w:kern w:val="2"/>
                <w:szCs w:val="24"/>
                <w:lang w:eastAsia="en-US"/>
              </w:rPr>
              <w:t>2023 m. m. vienam mokiniui teko 62,9 praleistų pamokų ir 0,95</w:t>
            </w:r>
            <w:r w:rsidR="00E16384">
              <w:t> </w:t>
            </w:r>
            <w:r w:rsidRPr="006F0F61">
              <w:rPr>
                <w:kern w:val="2"/>
                <w:szCs w:val="24"/>
                <w:lang w:eastAsia="en-US"/>
              </w:rPr>
              <w:t xml:space="preserve"> </w:t>
            </w:r>
            <w:r>
              <w:rPr>
                <w:kern w:val="2"/>
                <w:szCs w:val="24"/>
                <w:lang w:eastAsia="en-US"/>
              </w:rPr>
              <w:t>nepateisintos pamokos (2021–</w:t>
            </w:r>
            <w:r w:rsidRPr="006F0F61">
              <w:rPr>
                <w:kern w:val="2"/>
                <w:szCs w:val="24"/>
                <w:lang w:eastAsia="en-US"/>
              </w:rPr>
              <w:t xml:space="preserve">2022 m. m. atitinkamai 62 praleistos ir </w:t>
            </w:r>
            <w:r w:rsidRPr="006F0F61">
              <w:rPr>
                <w:kern w:val="2"/>
                <w:szCs w:val="24"/>
                <w:lang w:eastAsia="en-US"/>
              </w:rPr>
              <w:lastRenderedPageBreak/>
              <w:t>2,5</w:t>
            </w:r>
            <w:r w:rsidR="00E16384">
              <w:rPr>
                <w:kern w:val="2"/>
                <w:szCs w:val="24"/>
                <w:lang w:eastAsia="en-US"/>
              </w:rPr>
              <w:t> </w:t>
            </w:r>
            <w:r w:rsidRPr="006F0F61">
              <w:rPr>
                <w:kern w:val="2"/>
                <w:szCs w:val="24"/>
                <w:lang w:eastAsia="en-US"/>
              </w:rPr>
              <w:t xml:space="preserve"> nepateisintos pamokos). Pagrindinio ugdymo pirmos dalies programą baigė 50</w:t>
            </w:r>
            <w:r w:rsidR="00123A2D">
              <w:rPr>
                <w:kern w:val="2"/>
                <w:szCs w:val="24"/>
                <w:lang w:eastAsia="en-US"/>
              </w:rPr>
              <w:t> </w:t>
            </w:r>
            <w:r w:rsidRPr="006F0F61">
              <w:rPr>
                <w:kern w:val="2"/>
                <w:szCs w:val="24"/>
                <w:lang w:eastAsia="en-US"/>
              </w:rPr>
              <w:t xml:space="preserve"> mokinių.</w:t>
            </w:r>
            <w:r w:rsidRPr="006F0F61">
              <w:rPr>
                <w:rFonts w:eastAsia="Calibri"/>
                <w:kern w:val="2"/>
                <w:szCs w:val="24"/>
                <w:lang w:eastAsia="en-US"/>
              </w:rPr>
              <w:t xml:space="preserve"> </w:t>
            </w:r>
          </w:p>
          <w:p w14:paraId="3F3BA965" w14:textId="434D97C9" w:rsidR="006F0F61" w:rsidRPr="006F0F61" w:rsidRDefault="006F0F61" w:rsidP="006F0F61">
            <w:pPr>
              <w:jc w:val="both"/>
              <w:rPr>
                <w:rFonts w:eastAsia="Calibri"/>
                <w:kern w:val="2"/>
                <w:szCs w:val="24"/>
                <w:lang w:eastAsia="en-US"/>
              </w:rPr>
            </w:pPr>
            <w:r w:rsidRPr="006F0F61">
              <w:rPr>
                <w:rFonts w:eastAsia="Calibri"/>
                <w:kern w:val="2"/>
                <w:szCs w:val="24"/>
                <w:lang w:eastAsia="en-US"/>
              </w:rPr>
              <w:t xml:space="preserve">Mokiniams buvo teikiama mokymosi pagalba – individualios ir grupinės konsultacijos, mokytojo padėjėjo pagalba. Įvertinus mokinių poreikius 1 </w:t>
            </w:r>
            <w:r w:rsidRPr="00AA3F17">
              <w:rPr>
                <w:rFonts w:eastAsia="Calibri"/>
                <w:kern w:val="2"/>
                <w:szCs w:val="24"/>
                <w:lang w:eastAsia="en-US"/>
              </w:rPr>
              <w:t>klasėje</w:t>
            </w:r>
            <w:r w:rsidR="0034144B" w:rsidRPr="00AA3F17">
              <w:rPr>
                <w:rFonts w:eastAsia="Calibri"/>
                <w:kern w:val="2"/>
                <w:szCs w:val="24"/>
                <w:lang w:eastAsia="en-US"/>
              </w:rPr>
              <w:t>,</w:t>
            </w:r>
            <w:r w:rsidRPr="006F0F61">
              <w:rPr>
                <w:rFonts w:eastAsia="Calibri"/>
                <w:kern w:val="2"/>
                <w:szCs w:val="24"/>
                <w:lang w:eastAsia="en-US"/>
              </w:rPr>
              <w:t xml:space="preserve"> papildomai 1</w:t>
            </w:r>
            <w:r w:rsidR="00123A2D">
              <w:rPr>
                <w:rFonts w:eastAsia="Calibri"/>
              </w:rPr>
              <w:t> </w:t>
            </w:r>
            <w:r w:rsidRPr="006F0F61">
              <w:rPr>
                <w:rFonts w:eastAsia="Calibri"/>
                <w:kern w:val="2"/>
                <w:szCs w:val="24"/>
                <w:lang w:eastAsia="en-US"/>
              </w:rPr>
              <w:t xml:space="preserve"> savaitinė pamoka buvo skirta lietuvių kalbai mokyti, sudarant 2 grupes. 3 klasėje 1</w:t>
            </w:r>
            <w:r w:rsidR="00123A2D">
              <w:rPr>
                <w:rFonts w:eastAsia="Calibri"/>
              </w:rPr>
              <w:t> </w:t>
            </w:r>
            <w:r w:rsidRPr="006F0F61">
              <w:rPr>
                <w:rFonts w:eastAsia="Calibri"/>
                <w:kern w:val="2"/>
                <w:szCs w:val="24"/>
                <w:lang w:eastAsia="en-US"/>
              </w:rPr>
              <w:t xml:space="preserve"> savaitinė pamoka papildomai skirta matematikai mokyti. Visose pradinėse klasėse įvestas informacinių technologijų mokymas, tęsiamas anglų kalbos pagilintas mokymas nuo 5-tos klasės. 6–8 (išskyrus 8b, 8c ) klasėse 1 savaitinė pamoka buvo skirta lietuvių kalbai mokyti, sudarant 2 grupes. 6 ir 8 klasėse viena savaitinė pamoka papildomai buvo skirta matematikai mokyti. 7 klasėse viena savaitinė pamoka buvo skirta informacinių technologijų pasirenkamajam dalykui. 5 klasėse per savaitę dviejose lietuvių kalbos ir literatūros bei dviejose matematikos pamokose kiekvienoje klasėje dirbo kartu du mokytojai, neskirstant klasės į grupes.</w:t>
            </w:r>
          </w:p>
        </w:tc>
      </w:tr>
      <w:tr w:rsidR="006F0F61" w:rsidRPr="006F0F61" w14:paraId="47AB9DC4" w14:textId="77777777" w:rsidTr="006F0F61">
        <w:trPr>
          <w:gridAfter w:val="1"/>
          <w:wAfter w:w="236" w:type="dxa"/>
          <w:trHeight w:val="1350"/>
        </w:trPr>
        <w:tc>
          <w:tcPr>
            <w:tcW w:w="300" w:type="dxa"/>
            <w:vMerge/>
            <w:tcBorders>
              <w:top w:val="single" w:sz="4" w:space="0" w:color="auto"/>
              <w:left w:val="single" w:sz="4" w:space="0" w:color="auto"/>
              <w:bottom w:val="single" w:sz="4" w:space="0" w:color="auto"/>
              <w:right w:val="single" w:sz="4" w:space="0" w:color="auto"/>
            </w:tcBorders>
            <w:vAlign w:val="center"/>
          </w:tcPr>
          <w:p w14:paraId="61E94BC1" w14:textId="77777777" w:rsidR="006F0F61" w:rsidRPr="006F0F61" w:rsidRDefault="006F0F61" w:rsidP="006F0F61">
            <w:pPr>
              <w:rPr>
                <w:b/>
                <w:bCs/>
                <w:kern w:val="2"/>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4E0C040D" w14:textId="77777777" w:rsidR="006F0F61" w:rsidRPr="006F0F61" w:rsidRDefault="006F0F61" w:rsidP="006F0F61">
            <w:pPr>
              <w:jc w:val="both"/>
              <w:rPr>
                <w:color w:val="000000"/>
                <w:kern w:val="2"/>
                <w:szCs w:val="24"/>
                <w:lang w:eastAsia="en-US"/>
              </w:rPr>
            </w:pPr>
            <w:r w:rsidRPr="006F0F61">
              <w:rPr>
                <w:color w:val="000000"/>
                <w:kern w:val="2"/>
                <w:szCs w:val="24"/>
                <w:lang w:eastAsia="en-US"/>
              </w:rPr>
              <w:t xml:space="preserve">2023 m. pagrindinio ugdymo pasiekimų patikrinimo ir brandos egzaminų rezultatai bei palyginimas su savivaldybės ir šalies rezultatais (vidurkiais) </w:t>
            </w:r>
          </w:p>
        </w:tc>
        <w:tc>
          <w:tcPr>
            <w:tcW w:w="8649" w:type="dxa"/>
            <w:gridSpan w:val="2"/>
            <w:tcBorders>
              <w:top w:val="single" w:sz="4" w:space="0" w:color="auto"/>
              <w:left w:val="single" w:sz="4" w:space="0" w:color="auto"/>
              <w:bottom w:val="single" w:sz="4" w:space="0" w:color="auto"/>
              <w:right w:val="single" w:sz="4" w:space="0" w:color="auto"/>
            </w:tcBorders>
          </w:tcPr>
          <w:p w14:paraId="3E0457DD" w14:textId="77777777" w:rsidR="006F0F61" w:rsidRPr="006F0F61" w:rsidRDefault="006F0F61" w:rsidP="006F0F61">
            <w:pPr>
              <w:pStyle w:val="Sraopastraipa"/>
              <w:spacing w:after="160"/>
              <w:ind w:left="0"/>
              <w:jc w:val="both"/>
              <w:rPr>
                <w:kern w:val="2"/>
                <w:szCs w:val="24"/>
                <w:lang w:eastAsia="en-US"/>
              </w:rPr>
            </w:pPr>
            <w:r w:rsidRPr="006F0F61">
              <w:rPr>
                <w:kern w:val="2"/>
                <w:szCs w:val="24"/>
                <w:lang w:eastAsia="en-US"/>
              </w:rPr>
              <w:t xml:space="preserve">2023 m. Nacionaliniame mokinių pasiekimų patikrinime dalyvavo 48 aštuntos klasės mokiniai. 59,5 proc. mokinių pasiekė lietuvių kalbos (skaitymo) pagrindinį ir aukštesnįjį pasiekimų lygį, 40,5 proc. patenkinamą pasiekimų lygį. Matematikos pagrindinį ir aukštesnį pasiekimų lygį pasiekė 18,2 proc. mokinių, 72,7 proc. – patenkinamą pasiekimų lygį, o 4 mokiniai nepasiekė patenkinamo pasiekimų lygio. </w:t>
            </w:r>
          </w:p>
        </w:tc>
      </w:tr>
      <w:tr w:rsidR="006F0F61" w:rsidRPr="006F0F61" w14:paraId="4CD0C238" w14:textId="77777777" w:rsidTr="006F0F61">
        <w:trPr>
          <w:gridAfter w:val="1"/>
          <w:wAfter w:w="236" w:type="dxa"/>
          <w:trHeight w:val="184"/>
        </w:trPr>
        <w:tc>
          <w:tcPr>
            <w:tcW w:w="300" w:type="dxa"/>
            <w:vMerge/>
            <w:tcBorders>
              <w:top w:val="single" w:sz="4" w:space="0" w:color="auto"/>
              <w:left w:val="single" w:sz="4" w:space="0" w:color="auto"/>
              <w:bottom w:val="single" w:sz="4" w:space="0" w:color="auto"/>
              <w:right w:val="single" w:sz="4" w:space="0" w:color="auto"/>
            </w:tcBorders>
            <w:vAlign w:val="center"/>
          </w:tcPr>
          <w:p w14:paraId="1DD031EF" w14:textId="77777777" w:rsidR="006F0F61" w:rsidRPr="006F0F61" w:rsidRDefault="006F0F61" w:rsidP="006F0F61">
            <w:pPr>
              <w:rPr>
                <w:b/>
                <w:bCs/>
                <w:kern w:val="2"/>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57186D79" w14:textId="77777777" w:rsidR="006F0F61" w:rsidRPr="006F0F61" w:rsidRDefault="006F0F61" w:rsidP="006F0F61">
            <w:pPr>
              <w:jc w:val="both"/>
              <w:rPr>
                <w:color w:val="000000"/>
                <w:kern w:val="2"/>
                <w:szCs w:val="24"/>
                <w:lang w:eastAsia="en-US"/>
              </w:rPr>
            </w:pPr>
            <w:r w:rsidRPr="006F0F61">
              <w:rPr>
                <w:kern w:val="2"/>
                <w:szCs w:val="24"/>
                <w:lang w:eastAsia="en-US"/>
              </w:rPr>
              <w:t xml:space="preserve">Įstaigos </w:t>
            </w:r>
            <w:r w:rsidRPr="006F0F61">
              <w:rPr>
                <w:color w:val="000000"/>
                <w:kern w:val="2"/>
                <w:szCs w:val="24"/>
                <w:lang w:eastAsia="en-US"/>
              </w:rPr>
              <w:t xml:space="preserve">dalyvavimas tyrimuose, projektuose ir programose, gautų įvertinimų analizė bei rezultatų gerinimo darbai  </w:t>
            </w:r>
          </w:p>
        </w:tc>
        <w:tc>
          <w:tcPr>
            <w:tcW w:w="8649" w:type="dxa"/>
            <w:gridSpan w:val="2"/>
            <w:tcBorders>
              <w:top w:val="single" w:sz="4" w:space="0" w:color="auto"/>
              <w:left w:val="single" w:sz="4" w:space="0" w:color="auto"/>
              <w:bottom w:val="single" w:sz="4" w:space="0" w:color="auto"/>
              <w:right w:val="single" w:sz="4" w:space="0" w:color="auto"/>
            </w:tcBorders>
          </w:tcPr>
          <w:p w14:paraId="5F2C9804" w14:textId="77777777" w:rsidR="006F0F61" w:rsidRPr="006F0F61" w:rsidRDefault="006F0F61" w:rsidP="006F0F61">
            <w:pPr>
              <w:jc w:val="both"/>
              <w:rPr>
                <w:kern w:val="2"/>
                <w:szCs w:val="24"/>
                <w:lang w:eastAsia="en-US"/>
              </w:rPr>
            </w:pPr>
            <w:r w:rsidRPr="006F0F61">
              <w:rPr>
                <w:kern w:val="2"/>
                <w:szCs w:val="24"/>
                <w:lang w:eastAsia="en-US"/>
              </w:rPr>
              <w:t xml:space="preserve">2023 m. Nacionaliniame mokinių pasiekimų </w:t>
            </w:r>
            <w:r>
              <w:rPr>
                <w:kern w:val="2"/>
                <w:szCs w:val="24"/>
                <w:lang w:eastAsia="en-US"/>
              </w:rPr>
              <w:t>patikrinime (NMPP) dalyvavo 41 IV</w:t>
            </w:r>
            <w:r w:rsidRPr="006F0F61">
              <w:rPr>
                <w:kern w:val="2"/>
                <w:szCs w:val="24"/>
                <w:lang w:eastAsia="en-US"/>
              </w:rPr>
              <w:t xml:space="preserve"> klasės mokinys. 82 proc. mokinių pasiekė matematikos pagrindinį ir aukštesnįjį pasiekimų lygį. Lietuvių kalbos (skaitymo) pagrindinį pasiekimų lygį pasiekė 71 proc. ketvirtokų.</w:t>
            </w:r>
          </w:p>
        </w:tc>
      </w:tr>
      <w:tr w:rsidR="006F0F61" w:rsidRPr="006F0F61" w14:paraId="4EBFA2B6" w14:textId="77777777" w:rsidTr="006F0F61">
        <w:trPr>
          <w:gridAfter w:val="1"/>
          <w:wAfter w:w="236" w:type="dxa"/>
          <w:trHeight w:val="184"/>
        </w:trPr>
        <w:tc>
          <w:tcPr>
            <w:tcW w:w="300" w:type="dxa"/>
            <w:vMerge/>
            <w:tcBorders>
              <w:top w:val="single" w:sz="4" w:space="0" w:color="auto"/>
              <w:left w:val="single" w:sz="4" w:space="0" w:color="auto"/>
              <w:bottom w:val="single" w:sz="4" w:space="0" w:color="auto"/>
              <w:right w:val="single" w:sz="4" w:space="0" w:color="auto"/>
            </w:tcBorders>
            <w:vAlign w:val="center"/>
          </w:tcPr>
          <w:p w14:paraId="7FB7C657" w14:textId="77777777" w:rsidR="006F0F61" w:rsidRPr="006F0F61" w:rsidRDefault="006F0F61" w:rsidP="006F0F61">
            <w:pPr>
              <w:rPr>
                <w:b/>
                <w:bCs/>
                <w:kern w:val="2"/>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4840FC4E" w14:textId="77777777" w:rsidR="006F0F61" w:rsidRPr="006F0F61" w:rsidRDefault="006F0F61" w:rsidP="006F0F61">
            <w:pPr>
              <w:jc w:val="both"/>
              <w:rPr>
                <w:color w:val="000000"/>
                <w:kern w:val="2"/>
                <w:szCs w:val="24"/>
                <w:lang w:eastAsia="en-US"/>
              </w:rPr>
            </w:pPr>
            <w:r w:rsidRPr="006F0F61">
              <w:rPr>
                <w:color w:val="000000"/>
                <w:kern w:val="2"/>
                <w:szCs w:val="24"/>
                <w:lang w:eastAsia="en-US"/>
              </w:rPr>
              <w:t>Mokinių (ugdytinių) mokymo(</w:t>
            </w:r>
            <w:proofErr w:type="spellStart"/>
            <w:r w:rsidRPr="006F0F61">
              <w:rPr>
                <w:color w:val="000000"/>
                <w:kern w:val="2"/>
                <w:szCs w:val="24"/>
                <w:lang w:eastAsia="en-US"/>
              </w:rPr>
              <w:t>si</w:t>
            </w:r>
            <w:proofErr w:type="spellEnd"/>
            <w:r w:rsidRPr="006F0F61">
              <w:rPr>
                <w:color w:val="000000"/>
                <w:kern w:val="2"/>
                <w:szCs w:val="24"/>
                <w:lang w:eastAsia="en-US"/>
              </w:rPr>
              <w:t>) ir ugdymo(</w:t>
            </w:r>
            <w:proofErr w:type="spellStart"/>
            <w:r w:rsidRPr="006F0F61">
              <w:rPr>
                <w:color w:val="000000"/>
                <w:kern w:val="2"/>
                <w:szCs w:val="24"/>
                <w:lang w:eastAsia="en-US"/>
              </w:rPr>
              <w:t>si</w:t>
            </w:r>
            <w:proofErr w:type="spellEnd"/>
            <w:r w:rsidRPr="006F0F61">
              <w:rPr>
                <w:color w:val="000000"/>
                <w:kern w:val="2"/>
                <w:szCs w:val="24"/>
                <w:lang w:eastAsia="en-US"/>
              </w:rPr>
              <w:t>) pasiekimų pažangos stebėsena</w:t>
            </w:r>
          </w:p>
        </w:tc>
        <w:tc>
          <w:tcPr>
            <w:tcW w:w="8649" w:type="dxa"/>
            <w:gridSpan w:val="2"/>
            <w:tcBorders>
              <w:top w:val="single" w:sz="4" w:space="0" w:color="auto"/>
              <w:left w:val="single" w:sz="4" w:space="0" w:color="auto"/>
              <w:bottom w:val="single" w:sz="4" w:space="0" w:color="auto"/>
              <w:right w:val="single" w:sz="4" w:space="0" w:color="auto"/>
            </w:tcBorders>
          </w:tcPr>
          <w:p w14:paraId="001C0A31" w14:textId="77777777" w:rsidR="006F0F61" w:rsidRPr="006F0F61" w:rsidRDefault="006F0F61" w:rsidP="006F0F61">
            <w:pPr>
              <w:jc w:val="both"/>
              <w:rPr>
                <w:kern w:val="2"/>
                <w:szCs w:val="24"/>
                <w:lang w:eastAsia="en-US"/>
              </w:rPr>
            </w:pPr>
            <w:r w:rsidRPr="006F0F61">
              <w:rPr>
                <w:kern w:val="2"/>
                <w:szCs w:val="24"/>
                <w:lang w:eastAsia="en-US"/>
              </w:rPr>
              <w:t xml:space="preserve">Progimnazijoje parengtas Mokinių individualios pažangos įsivertinimo tvarkos aprašas, kuriuo vadovaujantis ugdymosi pasiekimų pažanga (akademinė ir bendrųjų kompetencijų ugdymo) stebima nuolat. Rezultatai aptariami individualiai su mokiniu, tėvais. Ne rečiau kaip du kartus per mokslo metus klasių vadovai, pradinių klasių mokytojai organizuoja individualios pažangos aptarimus, kuriuose dalyvauja dalykų mokytojai, pagalbos mokiniui specialistai, administracija. Atsiradus mokymosi sunkumams, organizuotai teikiama švietimo pagalba. Progimnazijoje mokymosi rezultatai vertinami pusmečiais. Pasibaigus pusmečiams vykdoma išsami palyginamoji pasiekimų analizė, kuri aptariama ir su mokiniais, jų tėvais (globėjais), numatomos </w:t>
            </w:r>
            <w:r w:rsidRPr="006F0F61">
              <w:rPr>
                <w:kern w:val="2"/>
                <w:szCs w:val="24"/>
                <w:lang w:eastAsia="en-US"/>
              </w:rPr>
              <w:lastRenderedPageBreak/>
              <w:t>mokymosi kokybės gerinimo priemonės, pagalba mokiniams, turintiems mokymosi sunkumų.</w:t>
            </w:r>
          </w:p>
        </w:tc>
      </w:tr>
      <w:tr w:rsidR="006F0F61" w:rsidRPr="006F0F61" w14:paraId="0C2122A5" w14:textId="77777777" w:rsidTr="006F0F61">
        <w:trPr>
          <w:gridAfter w:val="1"/>
          <w:wAfter w:w="236" w:type="dxa"/>
          <w:trHeight w:val="542"/>
        </w:trPr>
        <w:tc>
          <w:tcPr>
            <w:tcW w:w="300" w:type="dxa"/>
            <w:vMerge/>
            <w:tcBorders>
              <w:top w:val="single" w:sz="4" w:space="0" w:color="auto"/>
              <w:left w:val="single" w:sz="4" w:space="0" w:color="auto"/>
              <w:bottom w:val="single" w:sz="4" w:space="0" w:color="auto"/>
              <w:right w:val="single" w:sz="4" w:space="0" w:color="auto"/>
            </w:tcBorders>
            <w:vAlign w:val="center"/>
          </w:tcPr>
          <w:p w14:paraId="28D200B4" w14:textId="77777777" w:rsidR="006F0F61" w:rsidRPr="006F0F61" w:rsidRDefault="006F0F61" w:rsidP="006F0F61">
            <w:pPr>
              <w:rPr>
                <w:b/>
                <w:bCs/>
                <w:kern w:val="2"/>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1B71C06D" w14:textId="77777777" w:rsidR="006F0F61" w:rsidRPr="006F0F61" w:rsidRDefault="006F0F61" w:rsidP="006F0F61">
            <w:pPr>
              <w:jc w:val="both"/>
              <w:rPr>
                <w:kern w:val="2"/>
                <w:szCs w:val="24"/>
                <w:lang w:eastAsia="en-US"/>
              </w:rPr>
            </w:pPr>
            <w:r w:rsidRPr="006F0F61">
              <w:rPr>
                <w:kern w:val="2"/>
                <w:szCs w:val="24"/>
                <w:lang w:eastAsia="en-US"/>
              </w:rPr>
              <w:t>2023 metų neformaliojo švietimo organizavimas</w:t>
            </w:r>
          </w:p>
        </w:tc>
        <w:tc>
          <w:tcPr>
            <w:tcW w:w="8649" w:type="dxa"/>
            <w:gridSpan w:val="2"/>
            <w:tcBorders>
              <w:top w:val="single" w:sz="4" w:space="0" w:color="auto"/>
              <w:left w:val="single" w:sz="4" w:space="0" w:color="auto"/>
              <w:bottom w:val="single" w:sz="4" w:space="0" w:color="auto"/>
              <w:right w:val="single" w:sz="4" w:space="0" w:color="auto"/>
            </w:tcBorders>
          </w:tcPr>
          <w:p w14:paraId="75EFD090" w14:textId="77777777" w:rsidR="006F0F61" w:rsidRPr="006F0F61" w:rsidRDefault="006F0F61" w:rsidP="006F0F61">
            <w:pPr>
              <w:jc w:val="both"/>
              <w:rPr>
                <w:kern w:val="2"/>
                <w:szCs w:val="24"/>
                <w:lang w:eastAsia="en-US"/>
              </w:rPr>
            </w:pPr>
            <w:r w:rsidRPr="006F0F61">
              <w:rPr>
                <w:kern w:val="2"/>
                <w:szCs w:val="24"/>
                <w:lang w:eastAsia="en-US"/>
              </w:rPr>
              <w:t>Neformaliojo švietimo  veiklai buvo skirta 25 val. per savaitę, veikė 13 būrelių, kuriu</w:t>
            </w:r>
            <w:r>
              <w:rPr>
                <w:kern w:val="2"/>
                <w:szCs w:val="24"/>
                <w:lang w:eastAsia="en-US"/>
              </w:rPr>
              <w:t>os lankė 61 proc. 1–8 klasių mokinių (2021–</w:t>
            </w:r>
            <w:r w:rsidRPr="006F0F61">
              <w:rPr>
                <w:kern w:val="2"/>
                <w:szCs w:val="24"/>
                <w:lang w:eastAsia="en-US"/>
              </w:rPr>
              <w:t>2022 m. m. buvo skirta 26 val. per savaitę, veikė 16 būrelių, kuriuos lankė 46,6 proc. visų mokinių).</w:t>
            </w:r>
          </w:p>
        </w:tc>
      </w:tr>
      <w:tr w:rsidR="006F0F61" w:rsidRPr="006F0F61" w14:paraId="4A3F110A" w14:textId="77777777" w:rsidTr="006F0F61">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6E3AD101" w14:textId="77777777" w:rsidR="006F0F61" w:rsidRPr="006F0F61" w:rsidRDefault="006F0F61" w:rsidP="006F0F61">
            <w:pPr>
              <w:jc w:val="both"/>
              <w:rPr>
                <w:kern w:val="2"/>
                <w:szCs w:val="24"/>
                <w:lang w:eastAsia="en-US"/>
              </w:rPr>
            </w:pPr>
            <w:r w:rsidRPr="006F0F61">
              <w:rPr>
                <w:kern w:val="2"/>
                <w:szCs w:val="24"/>
                <w:lang w:eastAsia="en-US"/>
              </w:rPr>
              <w:t>Patyčių ir smurto prevencija įstaigoje 2023 metais</w:t>
            </w:r>
          </w:p>
        </w:tc>
        <w:tc>
          <w:tcPr>
            <w:tcW w:w="11935" w:type="dxa"/>
            <w:gridSpan w:val="4"/>
            <w:tcBorders>
              <w:top w:val="single" w:sz="4" w:space="0" w:color="auto"/>
              <w:left w:val="single" w:sz="4" w:space="0" w:color="auto"/>
              <w:bottom w:val="single" w:sz="4" w:space="0" w:color="auto"/>
              <w:right w:val="single" w:sz="4" w:space="0" w:color="auto"/>
            </w:tcBorders>
          </w:tcPr>
          <w:p w14:paraId="617114FD" w14:textId="77777777" w:rsidR="006F0F61" w:rsidRPr="006F0F61" w:rsidRDefault="006F0F61" w:rsidP="006F0F61">
            <w:pPr>
              <w:jc w:val="both"/>
              <w:rPr>
                <w:kern w:val="2"/>
                <w:szCs w:val="24"/>
                <w:lang w:eastAsia="en-US"/>
              </w:rPr>
            </w:pPr>
            <w:r w:rsidRPr="006F0F61">
              <w:rPr>
                <w:kern w:val="2"/>
                <w:szCs w:val="24"/>
                <w:lang w:eastAsia="en-US"/>
              </w:rPr>
              <w:t>Vykdyta socialinių įgūdžių ugdymo programa „Antras žingsnis“. Progimnazijos bendruomenė dalyvavo patyčių prevencijos programos OLWEUS kokybės užtikrinimo sistemoje OPKUS.</w:t>
            </w:r>
          </w:p>
        </w:tc>
      </w:tr>
      <w:tr w:rsidR="006F0F61" w:rsidRPr="006F0F61" w14:paraId="03AD3B92" w14:textId="77777777" w:rsidTr="006F0F61">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707D9262" w14:textId="77777777" w:rsidR="006F0F61" w:rsidRPr="006F0F61" w:rsidRDefault="006F0F61" w:rsidP="006F0F61">
            <w:pPr>
              <w:jc w:val="both"/>
              <w:rPr>
                <w:kern w:val="2"/>
                <w:szCs w:val="24"/>
                <w:lang w:eastAsia="en-US"/>
              </w:rPr>
            </w:pPr>
            <w:r w:rsidRPr="006F0F61">
              <w:rPr>
                <w:kern w:val="2"/>
                <w:szCs w:val="24"/>
                <w:lang w:eastAsia="en-US"/>
              </w:rPr>
              <w:t>Korupcijos prevencija įstaigoje 2023 metais</w:t>
            </w:r>
          </w:p>
        </w:tc>
        <w:tc>
          <w:tcPr>
            <w:tcW w:w="11935" w:type="dxa"/>
            <w:gridSpan w:val="4"/>
            <w:tcBorders>
              <w:top w:val="single" w:sz="4" w:space="0" w:color="auto"/>
              <w:left w:val="single" w:sz="4" w:space="0" w:color="auto"/>
              <w:bottom w:val="single" w:sz="4" w:space="0" w:color="auto"/>
              <w:right w:val="single" w:sz="4" w:space="0" w:color="auto"/>
            </w:tcBorders>
          </w:tcPr>
          <w:p w14:paraId="1C65AD12" w14:textId="77777777" w:rsidR="006F0F61" w:rsidRPr="006F0F61" w:rsidRDefault="006F0F61" w:rsidP="006F0F61">
            <w:pPr>
              <w:jc w:val="both"/>
              <w:rPr>
                <w:rFonts w:eastAsia="Calibri"/>
                <w:kern w:val="2"/>
                <w:szCs w:val="24"/>
                <w:lang w:eastAsia="en-US"/>
              </w:rPr>
            </w:pPr>
            <w:r w:rsidRPr="006F0F61">
              <w:rPr>
                <w:rFonts w:eastAsia="Calibri"/>
                <w:kern w:val="2"/>
                <w:szCs w:val="24"/>
                <w:lang w:eastAsia="en-US"/>
              </w:rPr>
              <w:t>2023 m. birželio 2 d. direktoriaus</w:t>
            </w:r>
            <w:r w:rsidRPr="0034144B">
              <w:rPr>
                <w:rFonts w:eastAsia="Calibri"/>
                <w:color w:val="FF0000"/>
                <w:kern w:val="2"/>
                <w:szCs w:val="24"/>
                <w:lang w:eastAsia="en-US"/>
              </w:rPr>
              <w:t xml:space="preserve"> </w:t>
            </w:r>
            <w:r w:rsidRPr="00AA3F17">
              <w:rPr>
                <w:rFonts w:eastAsia="Calibri"/>
                <w:kern w:val="2"/>
                <w:szCs w:val="24"/>
                <w:lang w:eastAsia="en-US"/>
              </w:rPr>
              <w:t>įsakym</w:t>
            </w:r>
            <w:r w:rsidR="0034144B" w:rsidRPr="00AA3F17">
              <w:rPr>
                <w:rFonts w:eastAsia="Calibri"/>
                <w:kern w:val="2"/>
                <w:szCs w:val="24"/>
                <w:lang w:eastAsia="en-US"/>
              </w:rPr>
              <w:t>as</w:t>
            </w:r>
            <w:r w:rsidRPr="006F0F61">
              <w:rPr>
                <w:rFonts w:eastAsia="Calibri"/>
                <w:kern w:val="2"/>
                <w:szCs w:val="24"/>
                <w:lang w:eastAsia="en-US"/>
              </w:rPr>
              <w:t xml:space="preserve"> Nr. V1–224 „Dėl korupcijos prevencijos programos 2023–2025 metams ir korupcijos prevencijos programos 2023–2025 metams įgyvendinimo priemonių plano tvirtinimo“.</w:t>
            </w:r>
          </w:p>
        </w:tc>
      </w:tr>
      <w:tr w:rsidR="006F0F61" w:rsidRPr="006F0F61" w14:paraId="555E3603" w14:textId="77777777" w:rsidTr="006F0F61">
        <w:trPr>
          <w:gridAfter w:val="1"/>
          <w:wAfter w:w="236" w:type="dxa"/>
          <w:trHeight w:val="1104"/>
        </w:trPr>
        <w:tc>
          <w:tcPr>
            <w:tcW w:w="2666" w:type="dxa"/>
            <w:tcBorders>
              <w:top w:val="single" w:sz="4" w:space="0" w:color="auto"/>
              <w:left w:val="single" w:sz="4" w:space="0" w:color="auto"/>
              <w:bottom w:val="single" w:sz="4" w:space="0" w:color="auto"/>
              <w:right w:val="single" w:sz="4" w:space="0" w:color="auto"/>
            </w:tcBorders>
          </w:tcPr>
          <w:p w14:paraId="27D31413" w14:textId="77777777" w:rsidR="006F0F61" w:rsidRPr="006F0F61" w:rsidRDefault="006F0F61" w:rsidP="006F0F61">
            <w:pPr>
              <w:jc w:val="both"/>
              <w:rPr>
                <w:kern w:val="2"/>
                <w:szCs w:val="24"/>
                <w:lang w:eastAsia="en-US"/>
              </w:rPr>
            </w:pPr>
            <w:r w:rsidRPr="006F0F61">
              <w:rPr>
                <w:kern w:val="2"/>
                <w:szCs w:val="24"/>
                <w:lang w:eastAsia="en-US"/>
              </w:rPr>
              <w:t>Įstaigos veiklos  vertinimas</w:t>
            </w:r>
          </w:p>
        </w:tc>
        <w:tc>
          <w:tcPr>
            <w:tcW w:w="2860" w:type="dxa"/>
            <w:tcBorders>
              <w:top w:val="single" w:sz="4" w:space="0" w:color="auto"/>
              <w:left w:val="single" w:sz="4" w:space="0" w:color="auto"/>
              <w:bottom w:val="single" w:sz="4" w:space="0" w:color="000000"/>
              <w:right w:val="single" w:sz="4" w:space="0" w:color="auto"/>
            </w:tcBorders>
          </w:tcPr>
          <w:p w14:paraId="67B5F40B" w14:textId="77777777" w:rsidR="006F0F61" w:rsidRPr="006F0F61" w:rsidRDefault="006F0F61" w:rsidP="006F0F61">
            <w:pPr>
              <w:jc w:val="both"/>
              <w:rPr>
                <w:kern w:val="2"/>
                <w:szCs w:val="24"/>
                <w:lang w:eastAsia="en-US"/>
              </w:rPr>
            </w:pPr>
            <w:r w:rsidRPr="006F0F61">
              <w:rPr>
                <w:kern w:val="2"/>
                <w:szCs w:val="24"/>
                <w:lang w:eastAsia="en-US"/>
              </w:rPr>
              <w:t>Išorinis įstaigos vertinimas ir gautų duomenų naudojimas veiklai tobulinti</w:t>
            </w:r>
          </w:p>
        </w:tc>
        <w:tc>
          <w:tcPr>
            <w:tcW w:w="9075" w:type="dxa"/>
            <w:gridSpan w:val="3"/>
            <w:tcBorders>
              <w:top w:val="single" w:sz="4" w:space="0" w:color="auto"/>
              <w:left w:val="single" w:sz="4" w:space="0" w:color="auto"/>
              <w:bottom w:val="single" w:sz="4" w:space="0" w:color="000000"/>
              <w:right w:val="single" w:sz="4" w:space="0" w:color="auto"/>
            </w:tcBorders>
          </w:tcPr>
          <w:p w14:paraId="4A602D5A" w14:textId="77777777" w:rsidR="006F0F61" w:rsidRPr="006F0F61" w:rsidRDefault="006F0F61" w:rsidP="006F0F61">
            <w:pPr>
              <w:jc w:val="both"/>
              <w:rPr>
                <w:kern w:val="2"/>
                <w:szCs w:val="24"/>
                <w:lang w:eastAsia="en-US"/>
              </w:rPr>
            </w:pPr>
            <w:r>
              <w:rPr>
                <w:kern w:val="2"/>
                <w:szCs w:val="24"/>
                <w:lang w:eastAsia="en-US"/>
              </w:rPr>
              <w:t>2023 m. gegužės 8–</w:t>
            </w:r>
            <w:r w:rsidRPr="006F0F61">
              <w:rPr>
                <w:kern w:val="2"/>
                <w:szCs w:val="24"/>
                <w:lang w:eastAsia="en-US"/>
              </w:rPr>
              <w:t>10 dienomis Nacionalinė švietimo agentūra atliko teminį išorinį vertinimą. Duomenys</w:t>
            </w:r>
            <w:r>
              <w:rPr>
                <w:kern w:val="2"/>
                <w:szCs w:val="24"/>
                <w:lang w:eastAsia="en-US"/>
              </w:rPr>
              <w:t xml:space="preserve"> buvo naudojami planuojant 2023–</w:t>
            </w:r>
            <w:r w:rsidRPr="006F0F61">
              <w:rPr>
                <w:kern w:val="2"/>
                <w:szCs w:val="24"/>
                <w:lang w:eastAsia="en-US"/>
              </w:rPr>
              <w:t>2024 mokslo metų ugdymo veiklą.</w:t>
            </w:r>
          </w:p>
          <w:p w14:paraId="66B8A9FD" w14:textId="77777777" w:rsidR="006F0F61" w:rsidRPr="006F0F61" w:rsidRDefault="006F0F61" w:rsidP="006F0F61">
            <w:pPr>
              <w:jc w:val="both"/>
              <w:rPr>
                <w:kern w:val="2"/>
                <w:szCs w:val="24"/>
                <w:lang w:eastAsia="en-US"/>
              </w:rPr>
            </w:pPr>
            <w:r w:rsidRPr="006F0F61">
              <w:rPr>
                <w:kern w:val="2"/>
                <w:szCs w:val="24"/>
                <w:lang w:eastAsia="en-US"/>
              </w:rPr>
              <w:t xml:space="preserve"> </w:t>
            </w:r>
          </w:p>
        </w:tc>
      </w:tr>
      <w:tr w:rsidR="006F0F61" w:rsidRPr="006F0F61" w14:paraId="46C78245" w14:textId="77777777" w:rsidTr="006F0F61">
        <w:trPr>
          <w:gridAfter w:val="1"/>
          <w:wAfter w:w="236" w:type="dxa"/>
          <w:trHeight w:val="276"/>
        </w:trPr>
        <w:tc>
          <w:tcPr>
            <w:tcW w:w="14601" w:type="dxa"/>
            <w:gridSpan w:val="5"/>
            <w:tcBorders>
              <w:top w:val="nil"/>
              <w:left w:val="nil"/>
              <w:bottom w:val="single" w:sz="4" w:space="0" w:color="auto"/>
              <w:right w:val="nil"/>
            </w:tcBorders>
          </w:tcPr>
          <w:p w14:paraId="1A4AE889" w14:textId="77777777" w:rsidR="006F0F61" w:rsidRPr="006F0F61" w:rsidRDefault="006F0F61" w:rsidP="006F0F61">
            <w:pPr>
              <w:jc w:val="center"/>
              <w:rPr>
                <w:rFonts w:eastAsia="Calibri"/>
                <w:b/>
                <w:kern w:val="2"/>
                <w:szCs w:val="24"/>
                <w:lang w:eastAsia="en-US"/>
              </w:rPr>
            </w:pPr>
          </w:p>
        </w:tc>
      </w:tr>
      <w:tr w:rsidR="006F0F61" w:rsidRPr="006F0F61" w14:paraId="3ED96799" w14:textId="77777777" w:rsidTr="006F0F61">
        <w:trPr>
          <w:trHeight w:val="1214"/>
        </w:trPr>
        <w:tc>
          <w:tcPr>
            <w:tcW w:w="2666" w:type="dxa"/>
            <w:vMerge w:val="restart"/>
            <w:tcBorders>
              <w:top w:val="single" w:sz="4" w:space="0" w:color="auto"/>
              <w:left w:val="single" w:sz="4" w:space="0" w:color="auto"/>
              <w:bottom w:val="single" w:sz="4" w:space="0" w:color="auto"/>
              <w:right w:val="single" w:sz="4" w:space="0" w:color="auto"/>
            </w:tcBorders>
          </w:tcPr>
          <w:p w14:paraId="6EDD7B3D" w14:textId="77777777" w:rsidR="006F0F61" w:rsidRPr="006F0F61" w:rsidRDefault="006F0F61" w:rsidP="006F0F61">
            <w:pPr>
              <w:rPr>
                <w:color w:val="000000"/>
                <w:kern w:val="2"/>
                <w:szCs w:val="24"/>
                <w:lang w:eastAsia="en-US"/>
              </w:rPr>
            </w:pPr>
            <w:r w:rsidRPr="006F0F61">
              <w:rPr>
                <w:kern w:val="2"/>
                <w:szCs w:val="24"/>
                <w:lang w:eastAsia="en-US"/>
              </w:rPr>
              <w:t xml:space="preserve">Įstaigos </w:t>
            </w:r>
            <w:r w:rsidRPr="006F0F61">
              <w:rPr>
                <w:color w:val="000000"/>
                <w:kern w:val="2"/>
                <w:szCs w:val="24"/>
                <w:lang w:eastAsia="en-US"/>
              </w:rPr>
              <w:t>problemos ir</w:t>
            </w:r>
          </w:p>
          <w:p w14:paraId="41CDBBC3" w14:textId="77777777" w:rsidR="006F0F61" w:rsidRPr="006F0F61" w:rsidRDefault="006F0F61" w:rsidP="006F0F61">
            <w:pPr>
              <w:rPr>
                <w:color w:val="000000"/>
                <w:kern w:val="2"/>
                <w:szCs w:val="24"/>
                <w:lang w:eastAsia="en-US"/>
              </w:rPr>
            </w:pPr>
            <w:r w:rsidRPr="006F0F61">
              <w:rPr>
                <w:color w:val="000000"/>
                <w:kern w:val="2"/>
                <w:szCs w:val="24"/>
                <w:lang w:eastAsia="en-US"/>
              </w:rPr>
              <w:t>jų sprendimas</w:t>
            </w:r>
          </w:p>
        </w:tc>
        <w:tc>
          <w:tcPr>
            <w:tcW w:w="3286" w:type="dxa"/>
            <w:gridSpan w:val="2"/>
            <w:tcBorders>
              <w:top w:val="single" w:sz="4" w:space="0" w:color="auto"/>
              <w:left w:val="single" w:sz="4" w:space="0" w:color="auto"/>
              <w:bottom w:val="single" w:sz="4" w:space="0" w:color="auto"/>
              <w:right w:val="single" w:sz="4" w:space="0" w:color="auto"/>
            </w:tcBorders>
          </w:tcPr>
          <w:p w14:paraId="0CA8F133" w14:textId="77777777" w:rsidR="006F0F61" w:rsidRPr="006F0F61" w:rsidRDefault="006F0F61" w:rsidP="006F0F61">
            <w:pPr>
              <w:jc w:val="both"/>
              <w:rPr>
                <w:kern w:val="2"/>
                <w:szCs w:val="24"/>
                <w:lang w:eastAsia="en-US"/>
              </w:rPr>
            </w:pPr>
            <w:r w:rsidRPr="006F0F61">
              <w:rPr>
                <w:kern w:val="2"/>
                <w:szCs w:val="24"/>
                <w:lang w:eastAsia="en-US"/>
              </w:rPr>
              <w:t xml:space="preserve">2022 m. mokyklos veiklos ataskaitoje nurodytų problemų (iš)sprendimas </w:t>
            </w:r>
          </w:p>
          <w:p w14:paraId="4839DE56" w14:textId="77777777" w:rsidR="006F0F61" w:rsidRPr="006F0F61" w:rsidRDefault="006F0F61" w:rsidP="006F0F61">
            <w:pPr>
              <w:rPr>
                <w:kern w:val="2"/>
                <w:szCs w:val="24"/>
                <w:lang w:eastAsia="en-US"/>
              </w:rPr>
            </w:pPr>
          </w:p>
        </w:tc>
        <w:tc>
          <w:tcPr>
            <w:tcW w:w="8649" w:type="dxa"/>
            <w:gridSpan w:val="2"/>
            <w:tcBorders>
              <w:top w:val="single" w:sz="4" w:space="0" w:color="000000"/>
              <w:left w:val="single" w:sz="4" w:space="0" w:color="auto"/>
              <w:bottom w:val="single" w:sz="4" w:space="0" w:color="auto"/>
              <w:right w:val="single" w:sz="4" w:space="0" w:color="auto"/>
            </w:tcBorders>
          </w:tcPr>
          <w:p w14:paraId="6F13548B" w14:textId="77777777" w:rsidR="006F0F61" w:rsidRPr="006F0F61" w:rsidRDefault="006F0F61" w:rsidP="006F0F61">
            <w:pPr>
              <w:jc w:val="both"/>
              <w:rPr>
                <w:rFonts w:eastAsia="Calibri"/>
                <w:kern w:val="2"/>
                <w:szCs w:val="24"/>
                <w:lang w:eastAsia="en-US"/>
              </w:rPr>
            </w:pPr>
            <w:r w:rsidRPr="006F0F61">
              <w:rPr>
                <w:rFonts w:eastAsia="Calibri"/>
                <w:kern w:val="2"/>
                <w:szCs w:val="24"/>
                <w:lang w:eastAsia="en-US"/>
              </w:rPr>
              <w:t>Labai bloga stogo būklė, dideli šilumos nuostoliai</w:t>
            </w:r>
            <w:r>
              <w:rPr>
                <w:rFonts w:eastAsia="Calibri"/>
                <w:kern w:val="2"/>
                <w:szCs w:val="24"/>
                <w:lang w:eastAsia="en-US"/>
              </w:rPr>
              <w:t xml:space="preserve"> –</w:t>
            </w:r>
            <w:r w:rsidRPr="006F0F61">
              <w:rPr>
                <w:rFonts w:eastAsia="Calibri"/>
                <w:kern w:val="2"/>
                <w:szCs w:val="24"/>
                <w:lang w:eastAsia="en-US"/>
              </w:rPr>
              <w:t xml:space="preserve"> neįmanoma užtikrinti visų 3 aukšto kabinetų temperatūros atitikimą higienos normoms (atliktas minimalus stogo dangos remontas)</w:t>
            </w:r>
            <w:r>
              <w:rPr>
                <w:rFonts w:eastAsia="Calibri"/>
                <w:kern w:val="2"/>
                <w:szCs w:val="24"/>
                <w:lang w:eastAsia="en-US"/>
              </w:rPr>
              <w:t>.</w:t>
            </w:r>
          </w:p>
          <w:p w14:paraId="539F4764" w14:textId="77777777" w:rsidR="006F0F61" w:rsidRPr="006F0F61" w:rsidRDefault="006F0F61" w:rsidP="006F0F61">
            <w:pPr>
              <w:jc w:val="both"/>
              <w:rPr>
                <w:rFonts w:eastAsia="Calibri"/>
                <w:kern w:val="2"/>
                <w:szCs w:val="24"/>
                <w:lang w:eastAsia="en-US"/>
              </w:rPr>
            </w:pPr>
            <w:r w:rsidRPr="006F0F61">
              <w:rPr>
                <w:rFonts w:eastAsia="Calibri"/>
                <w:kern w:val="2"/>
                <w:szCs w:val="24"/>
                <w:lang w:eastAsia="en-US"/>
              </w:rPr>
              <w:t>Dideli šilumos nuostoliai per neapšiltintą pastato pamatą ir pirmo aukšto grindis (darbai nebuvo vykdomi)</w:t>
            </w:r>
            <w:r>
              <w:rPr>
                <w:rFonts w:eastAsia="Calibri"/>
                <w:kern w:val="2"/>
                <w:szCs w:val="24"/>
                <w:lang w:eastAsia="en-US"/>
              </w:rPr>
              <w:t>.</w:t>
            </w:r>
          </w:p>
          <w:p w14:paraId="20829A93" w14:textId="12C4C267" w:rsidR="006F0F61" w:rsidRPr="006F0F61" w:rsidRDefault="006F0F61" w:rsidP="006F0F61">
            <w:pPr>
              <w:jc w:val="both"/>
              <w:rPr>
                <w:rFonts w:eastAsia="Calibri"/>
                <w:kern w:val="2"/>
                <w:szCs w:val="24"/>
                <w:lang w:eastAsia="en-US"/>
              </w:rPr>
            </w:pPr>
            <w:r w:rsidRPr="006F0F61">
              <w:rPr>
                <w:rFonts w:eastAsia="Calibri"/>
                <w:kern w:val="2"/>
                <w:szCs w:val="24"/>
                <w:lang w:eastAsia="en-US"/>
              </w:rPr>
              <w:t>Tualetai, išskyrus pradinių klasių, neatitinka šiuolaikinių reikala</w:t>
            </w:r>
            <w:r>
              <w:rPr>
                <w:rFonts w:eastAsia="Calibri"/>
                <w:kern w:val="2"/>
                <w:szCs w:val="24"/>
                <w:lang w:eastAsia="en-US"/>
              </w:rPr>
              <w:t>vimų (suremontuoti 2</w:t>
            </w:r>
            <w:r w:rsidR="00123A2D">
              <w:rPr>
                <w:rFonts w:eastAsia="Calibri"/>
                <w:kern w:val="2"/>
                <w:szCs w:val="24"/>
                <w:lang w:eastAsia="en-US"/>
              </w:rPr>
              <w:t> </w:t>
            </w:r>
            <w:r>
              <w:rPr>
                <w:rFonts w:eastAsia="Calibri"/>
                <w:kern w:val="2"/>
                <w:szCs w:val="24"/>
                <w:lang w:eastAsia="en-US"/>
              </w:rPr>
              <w:t xml:space="preserve"> tualetai 5–</w:t>
            </w:r>
            <w:r w:rsidRPr="006F0F61">
              <w:rPr>
                <w:rFonts w:eastAsia="Calibri"/>
                <w:kern w:val="2"/>
                <w:szCs w:val="24"/>
                <w:lang w:eastAsia="en-US"/>
              </w:rPr>
              <w:t>8 klasių mokiniams)</w:t>
            </w:r>
          </w:p>
          <w:p w14:paraId="4D70CBAC" w14:textId="77777777" w:rsidR="006F0F61" w:rsidRPr="006F0F61" w:rsidRDefault="006F0F61" w:rsidP="006F0F61">
            <w:pPr>
              <w:jc w:val="both"/>
              <w:rPr>
                <w:bCs/>
                <w:kern w:val="2"/>
                <w:szCs w:val="24"/>
                <w:lang w:eastAsia="en-US"/>
              </w:rPr>
            </w:pPr>
            <w:r w:rsidRPr="006F0F61">
              <w:rPr>
                <w:rFonts w:eastAsia="Calibri"/>
                <w:kern w:val="2"/>
                <w:szCs w:val="24"/>
                <w:lang w:eastAsia="en-US"/>
              </w:rPr>
              <w:t>Būtinas viso pastato remontas ir modernizavimas (darbai nebuvo atliekami).</w:t>
            </w:r>
          </w:p>
        </w:tc>
        <w:tc>
          <w:tcPr>
            <w:tcW w:w="236" w:type="dxa"/>
            <w:vMerge w:val="restart"/>
            <w:tcBorders>
              <w:top w:val="nil"/>
              <w:left w:val="single" w:sz="4" w:space="0" w:color="000000"/>
              <w:bottom w:val="nil"/>
              <w:right w:val="nil"/>
            </w:tcBorders>
          </w:tcPr>
          <w:p w14:paraId="7B427041" w14:textId="77777777" w:rsidR="006F0F61" w:rsidRPr="006F0F61" w:rsidRDefault="006F0F61" w:rsidP="006F0F61">
            <w:pPr>
              <w:rPr>
                <w:rFonts w:eastAsia="Calibri"/>
                <w:kern w:val="2"/>
                <w:szCs w:val="24"/>
                <w:lang w:eastAsia="en-US"/>
              </w:rPr>
            </w:pPr>
          </w:p>
        </w:tc>
      </w:tr>
      <w:tr w:rsidR="006F0F61" w:rsidRPr="006F0F61" w14:paraId="1869AEBB" w14:textId="77777777" w:rsidTr="006F0F61">
        <w:trPr>
          <w:trHeight w:val="135"/>
        </w:trPr>
        <w:tc>
          <w:tcPr>
            <w:tcW w:w="300" w:type="dxa"/>
            <w:vMerge/>
            <w:tcBorders>
              <w:top w:val="single" w:sz="4" w:space="0" w:color="auto"/>
              <w:left w:val="single" w:sz="4" w:space="0" w:color="auto"/>
              <w:bottom w:val="single" w:sz="4" w:space="0" w:color="auto"/>
              <w:right w:val="single" w:sz="4" w:space="0" w:color="auto"/>
            </w:tcBorders>
            <w:vAlign w:val="center"/>
          </w:tcPr>
          <w:p w14:paraId="35682755" w14:textId="77777777" w:rsidR="006F0F61" w:rsidRPr="006F0F61" w:rsidRDefault="006F0F61" w:rsidP="006F0F61">
            <w:pPr>
              <w:rPr>
                <w:color w:val="000000"/>
                <w:kern w:val="2"/>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77B9BE0B" w14:textId="77777777" w:rsidR="006F0F61" w:rsidRPr="006F0F61" w:rsidRDefault="006F0F61" w:rsidP="006F0F61">
            <w:pPr>
              <w:jc w:val="both"/>
              <w:rPr>
                <w:color w:val="000000"/>
                <w:kern w:val="2"/>
                <w:szCs w:val="24"/>
                <w:lang w:eastAsia="en-US"/>
              </w:rPr>
            </w:pPr>
            <w:r w:rsidRPr="006F0F61">
              <w:rPr>
                <w:color w:val="000000"/>
                <w:kern w:val="2"/>
                <w:szCs w:val="24"/>
                <w:lang w:eastAsia="en-US"/>
              </w:rPr>
              <w:t>Esamos mokyklos problemos ir jų sprendimas</w:t>
            </w:r>
          </w:p>
          <w:p w14:paraId="2BBCA7DB" w14:textId="77777777" w:rsidR="006F0F61" w:rsidRPr="006F0F61" w:rsidRDefault="006F0F61" w:rsidP="006F0F61">
            <w:pPr>
              <w:jc w:val="both"/>
              <w:rPr>
                <w:kern w:val="2"/>
                <w:szCs w:val="24"/>
                <w:lang w:eastAsia="en-US"/>
              </w:rPr>
            </w:pPr>
          </w:p>
        </w:tc>
        <w:tc>
          <w:tcPr>
            <w:tcW w:w="8649" w:type="dxa"/>
            <w:gridSpan w:val="2"/>
            <w:tcBorders>
              <w:top w:val="single" w:sz="4" w:space="0" w:color="000000"/>
              <w:left w:val="single" w:sz="4" w:space="0" w:color="auto"/>
              <w:bottom w:val="single" w:sz="4" w:space="0" w:color="auto"/>
              <w:right w:val="single" w:sz="4" w:space="0" w:color="auto"/>
            </w:tcBorders>
          </w:tcPr>
          <w:p w14:paraId="7F8039C5" w14:textId="77777777" w:rsidR="006F0F61" w:rsidRPr="006F0F61" w:rsidRDefault="006F0F61" w:rsidP="006F0F61">
            <w:pPr>
              <w:tabs>
                <w:tab w:val="left" w:pos="319"/>
              </w:tabs>
              <w:jc w:val="both"/>
              <w:rPr>
                <w:kern w:val="2"/>
                <w:szCs w:val="24"/>
                <w:lang w:eastAsia="en-US"/>
              </w:rPr>
            </w:pPr>
            <w:r w:rsidRPr="006F0F61">
              <w:rPr>
                <w:kern w:val="2"/>
                <w:szCs w:val="24"/>
                <w:lang w:eastAsia="en-US"/>
              </w:rPr>
              <w:t>Trūksta ugdymo lėšų ugdymo plano įgyvendinimui ir pagalbos mokini</w:t>
            </w:r>
            <w:r>
              <w:rPr>
                <w:kern w:val="2"/>
                <w:szCs w:val="24"/>
                <w:lang w:eastAsia="en-US"/>
              </w:rPr>
              <w:t>ui organizavimui (sudarant 2024–</w:t>
            </w:r>
            <w:r w:rsidRPr="006F0F61">
              <w:rPr>
                <w:kern w:val="2"/>
                <w:szCs w:val="24"/>
                <w:lang w:eastAsia="en-US"/>
              </w:rPr>
              <w:t>2025 m. m. ugdymo planą atsižvelgti į patvirtintas 2024 m. biudžeto lėšas).</w:t>
            </w:r>
          </w:p>
        </w:tc>
        <w:tc>
          <w:tcPr>
            <w:tcW w:w="240" w:type="dxa"/>
            <w:vMerge/>
            <w:tcBorders>
              <w:top w:val="nil"/>
              <w:left w:val="single" w:sz="4" w:space="0" w:color="000000"/>
              <w:bottom w:val="nil"/>
              <w:right w:val="nil"/>
            </w:tcBorders>
            <w:vAlign w:val="center"/>
          </w:tcPr>
          <w:p w14:paraId="75354A20" w14:textId="77777777" w:rsidR="006F0F61" w:rsidRPr="006F0F61" w:rsidRDefault="006F0F61" w:rsidP="006F0F61">
            <w:pPr>
              <w:rPr>
                <w:rFonts w:eastAsia="Calibri"/>
                <w:kern w:val="2"/>
                <w:szCs w:val="24"/>
                <w:lang w:eastAsia="en-US"/>
              </w:rPr>
            </w:pPr>
          </w:p>
        </w:tc>
      </w:tr>
      <w:tr w:rsidR="006F0F61" w:rsidRPr="006F0F61" w14:paraId="551396F9" w14:textId="77777777" w:rsidTr="006F0F61">
        <w:trPr>
          <w:gridAfter w:val="1"/>
          <w:wAfter w:w="236" w:type="dxa"/>
          <w:trHeight w:val="559"/>
        </w:trPr>
        <w:tc>
          <w:tcPr>
            <w:tcW w:w="300" w:type="dxa"/>
            <w:vMerge/>
            <w:tcBorders>
              <w:top w:val="single" w:sz="4" w:space="0" w:color="auto"/>
              <w:left w:val="single" w:sz="4" w:space="0" w:color="auto"/>
              <w:bottom w:val="single" w:sz="4" w:space="0" w:color="auto"/>
              <w:right w:val="single" w:sz="4" w:space="0" w:color="auto"/>
            </w:tcBorders>
            <w:vAlign w:val="center"/>
          </w:tcPr>
          <w:p w14:paraId="2960EE36" w14:textId="77777777" w:rsidR="006F0F61" w:rsidRPr="006F0F61" w:rsidRDefault="006F0F61" w:rsidP="006F0F61">
            <w:pPr>
              <w:rPr>
                <w:color w:val="000000"/>
                <w:kern w:val="2"/>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069F62E4" w14:textId="77777777" w:rsidR="006F0F61" w:rsidRPr="006F0F61" w:rsidRDefault="006F0F61" w:rsidP="006F0F61">
            <w:pPr>
              <w:rPr>
                <w:kern w:val="2"/>
                <w:szCs w:val="24"/>
                <w:lang w:eastAsia="en-US"/>
              </w:rPr>
            </w:pPr>
            <w:r w:rsidRPr="006F0F61">
              <w:rPr>
                <w:kern w:val="2"/>
                <w:szCs w:val="24"/>
                <w:lang w:eastAsia="en-US"/>
              </w:rPr>
              <w:t>Galimos (tikėtinos) mokyklos problemos ir jų sprendimas</w:t>
            </w:r>
          </w:p>
        </w:tc>
        <w:tc>
          <w:tcPr>
            <w:tcW w:w="8649" w:type="dxa"/>
            <w:gridSpan w:val="2"/>
            <w:tcBorders>
              <w:top w:val="single" w:sz="4" w:space="0" w:color="auto"/>
              <w:left w:val="single" w:sz="4" w:space="0" w:color="auto"/>
              <w:bottom w:val="single" w:sz="4" w:space="0" w:color="auto"/>
              <w:right w:val="single" w:sz="4" w:space="0" w:color="auto"/>
            </w:tcBorders>
          </w:tcPr>
          <w:p w14:paraId="2BA16D11" w14:textId="77777777" w:rsidR="006F0F61" w:rsidRPr="00AA3F17" w:rsidRDefault="006F0F61" w:rsidP="006F0F61">
            <w:pPr>
              <w:tabs>
                <w:tab w:val="left" w:pos="319"/>
              </w:tabs>
              <w:jc w:val="both"/>
              <w:rPr>
                <w:rFonts w:eastAsia="Calibri"/>
                <w:kern w:val="2"/>
                <w:szCs w:val="24"/>
                <w:lang w:eastAsia="en-US"/>
              </w:rPr>
            </w:pPr>
            <w:r w:rsidRPr="00AA3F17">
              <w:rPr>
                <w:rFonts w:eastAsia="Calibri"/>
                <w:kern w:val="2"/>
                <w:szCs w:val="24"/>
                <w:lang w:eastAsia="en-US"/>
              </w:rPr>
              <w:t>Pedagoginių darbuotojų trūkumas dėl pasitraukimo į senatvės pensiją (sudaryti išankstines sutartis su pedagogais, ketinanč</w:t>
            </w:r>
            <w:r w:rsidR="00C06695" w:rsidRPr="00AA3F17">
              <w:rPr>
                <w:rFonts w:eastAsia="Calibri"/>
                <w:kern w:val="2"/>
                <w:szCs w:val="24"/>
                <w:lang w:eastAsia="en-US"/>
              </w:rPr>
              <w:t>iais pradėti darbą ateinančiu 2–</w:t>
            </w:r>
            <w:r w:rsidRPr="00AA3F17">
              <w:rPr>
                <w:rFonts w:eastAsia="Calibri"/>
                <w:kern w:val="2"/>
                <w:szCs w:val="24"/>
                <w:lang w:eastAsia="en-US"/>
              </w:rPr>
              <w:t xml:space="preserve">3 metų  laikotarpiu). </w:t>
            </w:r>
          </w:p>
          <w:p w14:paraId="6AE1ED68" w14:textId="77777777" w:rsidR="006F0F61" w:rsidRPr="00AA3F17" w:rsidRDefault="006F0F61" w:rsidP="006F0F61">
            <w:pPr>
              <w:tabs>
                <w:tab w:val="left" w:pos="319"/>
              </w:tabs>
              <w:jc w:val="both"/>
              <w:rPr>
                <w:rFonts w:eastAsia="Calibri"/>
                <w:kern w:val="2"/>
                <w:szCs w:val="24"/>
                <w:lang w:eastAsia="en-US"/>
              </w:rPr>
            </w:pPr>
            <w:r w:rsidRPr="00AA3F17">
              <w:rPr>
                <w:rFonts w:eastAsia="Calibri"/>
                <w:kern w:val="2"/>
                <w:szCs w:val="24"/>
                <w:lang w:eastAsia="en-US"/>
              </w:rPr>
              <w:t>Organizaciniai sunkumai vykdant reorganizaciją ir prijungiant Smalininkų Lidijos Meškaitytės ir</w:t>
            </w:r>
            <w:r w:rsidR="00C06695" w:rsidRPr="00AA3F17">
              <w:rPr>
                <w:rFonts w:eastAsia="Calibri"/>
                <w:kern w:val="2"/>
                <w:szCs w:val="24"/>
                <w:lang w:eastAsia="en-US"/>
              </w:rPr>
              <w:t xml:space="preserve"> Viešvilės skyrius (birželio–</w:t>
            </w:r>
            <w:r w:rsidRPr="00AA3F17">
              <w:rPr>
                <w:rFonts w:eastAsia="Calibri"/>
                <w:kern w:val="2"/>
                <w:szCs w:val="24"/>
                <w:lang w:eastAsia="en-US"/>
              </w:rPr>
              <w:t>rugpjūčio mėn. suderinti pareigybių ir etatų skaičius).</w:t>
            </w:r>
          </w:p>
          <w:p w14:paraId="785D8C83" w14:textId="77777777" w:rsidR="006F0F61" w:rsidRPr="00AA3F17" w:rsidRDefault="006F0F61" w:rsidP="006F0F61">
            <w:pPr>
              <w:tabs>
                <w:tab w:val="left" w:pos="319"/>
              </w:tabs>
              <w:jc w:val="both"/>
              <w:rPr>
                <w:rFonts w:eastAsia="Calibri"/>
                <w:kern w:val="2"/>
                <w:szCs w:val="24"/>
                <w:lang w:eastAsia="en-US"/>
              </w:rPr>
            </w:pPr>
            <w:r w:rsidRPr="00AA3F17">
              <w:rPr>
                <w:rFonts w:eastAsia="Calibri"/>
                <w:kern w:val="2"/>
                <w:szCs w:val="24"/>
                <w:lang w:eastAsia="en-US"/>
              </w:rPr>
              <w:lastRenderedPageBreak/>
              <w:t xml:space="preserve">Mokinių maitinimo organizavimas nuo 2024 m. rugsėjo 1 d. (birželio mėnesį paskirti atsakingą darbuotoja, kuris organizuos valgyklos darbą nuo 2024 m. rugsėjo 1 d.) </w:t>
            </w:r>
          </w:p>
          <w:p w14:paraId="37E486C9" w14:textId="77777777" w:rsidR="006F0F61" w:rsidRPr="00AA3F17" w:rsidRDefault="006F0F61" w:rsidP="006F0F61">
            <w:pPr>
              <w:tabs>
                <w:tab w:val="left" w:pos="319"/>
              </w:tabs>
              <w:jc w:val="both"/>
              <w:rPr>
                <w:rFonts w:eastAsia="Calibri"/>
                <w:kern w:val="2"/>
                <w:szCs w:val="24"/>
                <w:lang w:eastAsia="en-US"/>
              </w:rPr>
            </w:pPr>
            <w:r w:rsidRPr="00AA3F17">
              <w:rPr>
                <w:rFonts w:eastAsia="Calibri"/>
                <w:kern w:val="2"/>
                <w:szCs w:val="24"/>
                <w:lang w:eastAsia="en-US"/>
              </w:rPr>
              <w:t>Ugdymo proceso organizavimas</w:t>
            </w:r>
            <w:r w:rsidR="0034144B" w:rsidRPr="00AA3F17">
              <w:rPr>
                <w:rFonts w:eastAsia="Calibri"/>
                <w:kern w:val="2"/>
                <w:szCs w:val="24"/>
                <w:lang w:eastAsia="en-US"/>
              </w:rPr>
              <w:t>,</w:t>
            </w:r>
            <w:r w:rsidRPr="00AA3F17">
              <w:rPr>
                <w:rFonts w:eastAsia="Calibri"/>
                <w:kern w:val="2"/>
                <w:szCs w:val="24"/>
                <w:lang w:eastAsia="en-US"/>
              </w:rPr>
              <w:t xml:space="preserve"> vykdant patalpų remontą ir pertvarkymą</w:t>
            </w:r>
            <w:r w:rsidR="00C06695" w:rsidRPr="00AA3F17">
              <w:rPr>
                <w:rFonts w:eastAsia="Calibri"/>
                <w:kern w:val="2"/>
                <w:szCs w:val="24"/>
                <w:lang w:eastAsia="en-US"/>
              </w:rPr>
              <w:t xml:space="preserve"> dėl „Tūkstantmečio mokyklos II“</w:t>
            </w:r>
            <w:r w:rsidRPr="00AA3F17">
              <w:rPr>
                <w:rFonts w:eastAsia="Calibri"/>
                <w:kern w:val="2"/>
                <w:szCs w:val="24"/>
                <w:lang w:eastAsia="en-US"/>
              </w:rPr>
              <w:t xml:space="preserve"> projekto vykdymo (statybos darbus baigti iki naujų mokslo metų pradžios).</w:t>
            </w:r>
          </w:p>
        </w:tc>
      </w:tr>
      <w:tr w:rsidR="006F0F61" w:rsidRPr="006F0F61" w14:paraId="760CF2FC" w14:textId="77777777" w:rsidTr="006F0F61">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6B93B302" w14:textId="77777777" w:rsidR="006F0F61" w:rsidRPr="006F0F61" w:rsidRDefault="006F0F61" w:rsidP="006F0F61">
            <w:pPr>
              <w:rPr>
                <w:color w:val="000000"/>
                <w:kern w:val="2"/>
                <w:szCs w:val="24"/>
                <w:lang w:eastAsia="en-US"/>
              </w:rPr>
            </w:pPr>
            <w:r w:rsidRPr="006F0F61">
              <w:rPr>
                <w:color w:val="000000"/>
                <w:kern w:val="2"/>
                <w:szCs w:val="24"/>
                <w:lang w:eastAsia="en-US"/>
              </w:rPr>
              <w:lastRenderedPageBreak/>
              <w:t>Metų ataskaitos aptarimas įstaigos savivaldos institucijose</w:t>
            </w:r>
          </w:p>
        </w:tc>
        <w:tc>
          <w:tcPr>
            <w:tcW w:w="11935" w:type="dxa"/>
            <w:gridSpan w:val="4"/>
            <w:tcBorders>
              <w:top w:val="single" w:sz="4" w:space="0" w:color="auto"/>
              <w:left w:val="single" w:sz="4" w:space="0" w:color="auto"/>
              <w:bottom w:val="single" w:sz="4" w:space="0" w:color="auto"/>
              <w:right w:val="single" w:sz="4" w:space="0" w:color="auto"/>
            </w:tcBorders>
          </w:tcPr>
          <w:p w14:paraId="1C474ACA" w14:textId="77777777" w:rsidR="006F0F61" w:rsidRPr="00AA3F17" w:rsidRDefault="006F0F61" w:rsidP="006F0F61">
            <w:pPr>
              <w:jc w:val="both"/>
              <w:rPr>
                <w:bCs/>
                <w:kern w:val="2"/>
                <w:szCs w:val="24"/>
                <w:lang w:eastAsia="en-US"/>
              </w:rPr>
            </w:pPr>
            <w:r w:rsidRPr="00AA3F17">
              <w:rPr>
                <w:bCs/>
                <w:kern w:val="2"/>
                <w:szCs w:val="24"/>
                <w:lang w:eastAsia="en-US"/>
              </w:rPr>
              <w:t>Jungtiniame Mokytojų ir Mokyklos tarybų posėdyje 2024 m. vasario 14 d. (Protokolo Nr. 1.)</w:t>
            </w:r>
          </w:p>
        </w:tc>
      </w:tr>
      <w:tr w:rsidR="006F0F61" w:rsidRPr="006F0F61" w14:paraId="6CB0651F" w14:textId="77777777" w:rsidTr="006F0F61">
        <w:trPr>
          <w:gridAfter w:val="1"/>
          <w:wAfter w:w="236" w:type="dxa"/>
          <w:trHeight w:val="112"/>
        </w:trPr>
        <w:tc>
          <w:tcPr>
            <w:tcW w:w="2666" w:type="dxa"/>
            <w:vMerge w:val="restart"/>
            <w:tcBorders>
              <w:top w:val="single" w:sz="4" w:space="0" w:color="auto"/>
              <w:left w:val="single" w:sz="4" w:space="0" w:color="auto"/>
              <w:bottom w:val="single" w:sz="4" w:space="0" w:color="auto"/>
              <w:right w:val="single" w:sz="4" w:space="0" w:color="auto"/>
            </w:tcBorders>
          </w:tcPr>
          <w:p w14:paraId="69D291F3" w14:textId="77777777" w:rsidR="006F0F61" w:rsidRPr="006F0F61" w:rsidRDefault="006F0F61" w:rsidP="006F0F61">
            <w:pPr>
              <w:rPr>
                <w:bCs/>
                <w:kern w:val="2"/>
                <w:szCs w:val="24"/>
                <w:lang w:eastAsia="en-US"/>
              </w:rPr>
            </w:pPr>
            <w:r w:rsidRPr="006F0F61">
              <w:rPr>
                <w:kern w:val="2"/>
                <w:szCs w:val="24"/>
                <w:lang w:eastAsia="en-US"/>
              </w:rPr>
              <w:t>Papildoma informacija apie įstaigą</w:t>
            </w:r>
          </w:p>
        </w:tc>
        <w:tc>
          <w:tcPr>
            <w:tcW w:w="4310" w:type="dxa"/>
            <w:gridSpan w:val="3"/>
            <w:tcBorders>
              <w:top w:val="single" w:sz="4" w:space="0" w:color="auto"/>
              <w:left w:val="single" w:sz="4" w:space="0" w:color="auto"/>
              <w:bottom w:val="single" w:sz="4" w:space="0" w:color="auto"/>
              <w:right w:val="single" w:sz="4" w:space="0" w:color="auto"/>
            </w:tcBorders>
          </w:tcPr>
          <w:p w14:paraId="4E360067" w14:textId="77777777" w:rsidR="006F0F61" w:rsidRPr="00AA3F17" w:rsidRDefault="006F0F61" w:rsidP="006F0F61">
            <w:pPr>
              <w:jc w:val="both"/>
              <w:rPr>
                <w:bCs/>
                <w:kern w:val="2"/>
                <w:szCs w:val="24"/>
                <w:lang w:eastAsia="en-US"/>
              </w:rPr>
            </w:pPr>
            <w:r w:rsidRPr="00AA3F17">
              <w:rPr>
                <w:kern w:val="2"/>
                <w:szCs w:val="24"/>
                <w:lang w:eastAsia="en-US"/>
              </w:rPr>
              <w:t>Informacijos apie įstaigos veiklą sklaida</w:t>
            </w:r>
          </w:p>
        </w:tc>
        <w:tc>
          <w:tcPr>
            <w:tcW w:w="7625" w:type="dxa"/>
            <w:tcBorders>
              <w:top w:val="single" w:sz="4" w:space="0" w:color="auto"/>
              <w:left w:val="single" w:sz="4" w:space="0" w:color="auto"/>
              <w:bottom w:val="single" w:sz="4" w:space="0" w:color="auto"/>
              <w:right w:val="single" w:sz="4" w:space="0" w:color="auto"/>
            </w:tcBorders>
          </w:tcPr>
          <w:p w14:paraId="08BA4331" w14:textId="77777777" w:rsidR="006F0F61" w:rsidRPr="00AA3F17" w:rsidRDefault="006F0F61" w:rsidP="006F0F61">
            <w:pPr>
              <w:jc w:val="both"/>
              <w:rPr>
                <w:bCs/>
                <w:kern w:val="2"/>
                <w:szCs w:val="24"/>
                <w:lang w:eastAsia="en-US"/>
              </w:rPr>
            </w:pPr>
            <w:r w:rsidRPr="00AA3F17">
              <w:rPr>
                <w:bCs/>
                <w:kern w:val="2"/>
                <w:szCs w:val="24"/>
                <w:lang w:eastAsia="en-US"/>
              </w:rPr>
              <w:t xml:space="preserve">Interneto puslapyje </w:t>
            </w:r>
            <w:hyperlink r:id="rId13" w:history="1">
              <w:r w:rsidRPr="00AA3F17">
                <w:rPr>
                  <w:rStyle w:val="Hipersaitas"/>
                  <w:bCs/>
                  <w:kern w:val="2"/>
                  <w:szCs w:val="24"/>
                  <w:lang w:eastAsia="en-US"/>
                </w:rPr>
                <w:t>www.jvdm.lt</w:t>
              </w:r>
            </w:hyperlink>
            <w:r w:rsidRPr="00AA3F17">
              <w:rPr>
                <w:bCs/>
                <w:kern w:val="2"/>
                <w:szCs w:val="24"/>
                <w:lang w:eastAsia="en-US"/>
              </w:rPr>
              <w:t xml:space="preserve">, </w:t>
            </w:r>
            <w:r w:rsidR="0034144B" w:rsidRPr="00AA3F17">
              <w:rPr>
                <w:bCs/>
                <w:kern w:val="2"/>
                <w:szCs w:val="24"/>
                <w:lang w:eastAsia="en-US"/>
              </w:rPr>
              <w:t>„</w:t>
            </w:r>
            <w:r w:rsidRPr="00AA3F17">
              <w:rPr>
                <w:bCs/>
                <w:kern w:val="2"/>
                <w:szCs w:val="24"/>
                <w:lang w:eastAsia="en-US"/>
              </w:rPr>
              <w:t>Facebook</w:t>
            </w:r>
            <w:r w:rsidR="0034144B" w:rsidRPr="00AA3F17">
              <w:rPr>
                <w:bCs/>
                <w:kern w:val="2"/>
                <w:szCs w:val="24"/>
                <w:lang w:eastAsia="en-US"/>
              </w:rPr>
              <w:t>“</w:t>
            </w:r>
            <w:r w:rsidRPr="00AA3F17">
              <w:rPr>
                <w:bCs/>
                <w:kern w:val="2"/>
                <w:szCs w:val="24"/>
                <w:lang w:eastAsia="en-US"/>
              </w:rPr>
              <w:t xml:space="preserve"> paskyroje.</w:t>
            </w:r>
          </w:p>
        </w:tc>
      </w:tr>
      <w:tr w:rsidR="006F0F61" w:rsidRPr="006F0F61" w14:paraId="5D6AAAD4" w14:textId="77777777" w:rsidTr="006F0F61">
        <w:trPr>
          <w:gridAfter w:val="1"/>
          <w:wAfter w:w="236" w:type="dxa"/>
          <w:trHeight w:val="285"/>
        </w:trPr>
        <w:tc>
          <w:tcPr>
            <w:tcW w:w="300" w:type="dxa"/>
            <w:vMerge/>
            <w:tcBorders>
              <w:top w:val="single" w:sz="4" w:space="0" w:color="auto"/>
              <w:left w:val="single" w:sz="4" w:space="0" w:color="auto"/>
              <w:bottom w:val="single" w:sz="4" w:space="0" w:color="auto"/>
              <w:right w:val="single" w:sz="4" w:space="0" w:color="auto"/>
            </w:tcBorders>
            <w:vAlign w:val="center"/>
          </w:tcPr>
          <w:p w14:paraId="46244A8D" w14:textId="77777777" w:rsidR="006F0F61" w:rsidRPr="006F0F61" w:rsidRDefault="006F0F61" w:rsidP="006F0F61">
            <w:pPr>
              <w:rPr>
                <w:bCs/>
                <w:kern w:val="2"/>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794CD976" w14:textId="77777777" w:rsidR="006F0F61" w:rsidRPr="006F0F61" w:rsidRDefault="006F0F61" w:rsidP="006F0F61">
            <w:pPr>
              <w:rPr>
                <w:kern w:val="2"/>
                <w:szCs w:val="24"/>
                <w:lang w:eastAsia="en-US"/>
              </w:rPr>
            </w:pPr>
            <w:r w:rsidRPr="006F0F61">
              <w:rPr>
                <w:kern w:val="2"/>
                <w:szCs w:val="24"/>
                <w:lang w:eastAsia="en-US"/>
              </w:rPr>
              <w:t>Įstaigos partneriai</w:t>
            </w:r>
          </w:p>
          <w:p w14:paraId="143F86B2" w14:textId="77777777" w:rsidR="006F0F61" w:rsidRPr="006F0F61" w:rsidRDefault="006F0F61" w:rsidP="006F0F61">
            <w:pPr>
              <w:rPr>
                <w:kern w:val="2"/>
                <w:szCs w:val="24"/>
                <w:lang w:eastAsia="en-US"/>
              </w:rPr>
            </w:pPr>
            <w:r w:rsidRPr="006F0F61">
              <w:rPr>
                <w:kern w:val="2"/>
                <w:szCs w:val="24"/>
                <w:lang w:eastAsia="en-US"/>
              </w:rPr>
              <w:t>Bendradarbiavimo su mokinių tėvais (globėjais, rūpintojais) ir socialiniais partneriais formos</w:t>
            </w:r>
          </w:p>
          <w:p w14:paraId="641F13D5" w14:textId="77777777" w:rsidR="006F0F61" w:rsidRPr="006F0F61" w:rsidRDefault="006F0F61" w:rsidP="006F0F61">
            <w:pPr>
              <w:jc w:val="both"/>
              <w:rPr>
                <w:kern w:val="2"/>
                <w:szCs w:val="24"/>
                <w:lang w:eastAsia="en-US"/>
              </w:rPr>
            </w:pPr>
          </w:p>
        </w:tc>
        <w:tc>
          <w:tcPr>
            <w:tcW w:w="7625" w:type="dxa"/>
            <w:tcBorders>
              <w:top w:val="single" w:sz="4" w:space="0" w:color="auto"/>
              <w:left w:val="single" w:sz="4" w:space="0" w:color="auto"/>
              <w:bottom w:val="single" w:sz="4" w:space="0" w:color="000000"/>
              <w:right w:val="single" w:sz="4" w:space="0" w:color="auto"/>
            </w:tcBorders>
          </w:tcPr>
          <w:p w14:paraId="1748C2ED" w14:textId="77777777" w:rsidR="006F0F61" w:rsidRPr="006F0F61" w:rsidRDefault="006F0F61" w:rsidP="006F0F61">
            <w:pPr>
              <w:jc w:val="both"/>
              <w:rPr>
                <w:kern w:val="2"/>
                <w:szCs w:val="24"/>
                <w:lang w:eastAsia="en-US"/>
              </w:rPr>
            </w:pPr>
            <w:r w:rsidRPr="006F0F61">
              <w:rPr>
                <w:kern w:val="2"/>
                <w:szCs w:val="24"/>
                <w:lang w:eastAsia="en-US"/>
              </w:rPr>
              <w:t>Jurbarko „Ąžuoliuko“ mokykla, Jurbarko vaikų lopšelis-darželis „Nykštukas“, Jurbarko r. Jurbarkų darželis-mokykla, Jurbarko rajono savivaldybės viešoji biblioteka, Jurbarko kultūros centras, Jurbarko sporto centras, Jurbarko švietimo centras, Jurbarko krašto muziejus, Jurbarko Antano Sodeikos meno mokykla.</w:t>
            </w:r>
          </w:p>
        </w:tc>
      </w:tr>
      <w:tr w:rsidR="006F0F61" w:rsidRPr="006F0F61" w14:paraId="1B9941B4" w14:textId="77777777" w:rsidTr="006F0F61">
        <w:trPr>
          <w:gridAfter w:val="1"/>
          <w:wAfter w:w="236" w:type="dxa"/>
          <w:trHeight w:val="285"/>
        </w:trPr>
        <w:tc>
          <w:tcPr>
            <w:tcW w:w="300" w:type="dxa"/>
            <w:vMerge/>
            <w:tcBorders>
              <w:top w:val="single" w:sz="4" w:space="0" w:color="auto"/>
              <w:left w:val="single" w:sz="4" w:space="0" w:color="auto"/>
              <w:bottom w:val="single" w:sz="4" w:space="0" w:color="auto"/>
              <w:right w:val="single" w:sz="4" w:space="0" w:color="auto"/>
            </w:tcBorders>
            <w:vAlign w:val="center"/>
          </w:tcPr>
          <w:p w14:paraId="602871B6" w14:textId="77777777" w:rsidR="006F0F61" w:rsidRPr="006F0F61" w:rsidRDefault="006F0F61" w:rsidP="006F0F61">
            <w:pPr>
              <w:rPr>
                <w:bCs/>
                <w:kern w:val="2"/>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0A9F4623" w14:textId="77777777" w:rsidR="006F0F61" w:rsidRPr="006F0F61" w:rsidRDefault="006F0F61" w:rsidP="006F0F61">
            <w:pPr>
              <w:rPr>
                <w:kern w:val="2"/>
                <w:szCs w:val="24"/>
                <w:lang w:eastAsia="en-US"/>
              </w:rPr>
            </w:pPr>
            <w:r w:rsidRPr="006F0F61">
              <w:rPr>
                <w:kern w:val="2"/>
                <w:szCs w:val="24"/>
                <w:lang w:eastAsia="en-US"/>
              </w:rPr>
              <w:t>Įstaigos bendruomenės iniciatyvos</w:t>
            </w:r>
          </w:p>
        </w:tc>
        <w:tc>
          <w:tcPr>
            <w:tcW w:w="7625" w:type="dxa"/>
            <w:tcBorders>
              <w:top w:val="single" w:sz="4" w:space="0" w:color="000000"/>
              <w:left w:val="single" w:sz="4" w:space="0" w:color="auto"/>
              <w:bottom w:val="single" w:sz="4" w:space="0" w:color="auto"/>
              <w:right w:val="single" w:sz="4" w:space="0" w:color="auto"/>
            </w:tcBorders>
          </w:tcPr>
          <w:p w14:paraId="1B52593A" w14:textId="77777777" w:rsidR="006F0F61" w:rsidRPr="006F0F61" w:rsidRDefault="006F0F61" w:rsidP="006F0F61">
            <w:pPr>
              <w:jc w:val="both"/>
              <w:rPr>
                <w:rFonts w:eastAsia="Calibri"/>
                <w:kern w:val="2"/>
                <w:szCs w:val="24"/>
                <w:lang w:eastAsia="en-US"/>
              </w:rPr>
            </w:pPr>
            <w:r w:rsidRPr="006F0F61">
              <w:rPr>
                <w:rFonts w:eastAsia="Calibri"/>
                <w:kern w:val="2"/>
                <w:szCs w:val="24"/>
                <w:lang w:eastAsia="en-US"/>
              </w:rPr>
              <w:t>Mokinių tėvai dalyvavo progimnazijoje organizuojamuose ugdymo dienų renginiuose (lietuvių kalbos diena, „Pasimatuok mokytojo profesiją“), edukacinėse išvykose. Klasių vadovai per mokslo metus organizuoja ne mažiau kaip du susitikimus (susirinkimus, pokalbius, diskusijas ir kt.) su mokinių tėvais (globėjais, rūpintojais). Sistemingai pasikeista abipuse informacija apie mokinio pasiekimus, lankomumą, elgesį. Iškilusioms problemoms spręsti dalykų mokytojai inicijavo pokalbius su klasės vadovu, mokiniu, jo tėvais.</w:t>
            </w:r>
          </w:p>
          <w:p w14:paraId="4135B580" w14:textId="77777777" w:rsidR="006F0F61" w:rsidRPr="006F0F61" w:rsidRDefault="006F0F61" w:rsidP="006F0F61">
            <w:pPr>
              <w:jc w:val="both"/>
              <w:rPr>
                <w:kern w:val="2"/>
                <w:szCs w:val="24"/>
                <w:lang w:eastAsia="en-US"/>
              </w:rPr>
            </w:pPr>
            <w:r w:rsidRPr="006F0F61">
              <w:rPr>
                <w:kern w:val="2"/>
                <w:szCs w:val="24"/>
                <w:lang w:eastAsia="en-US"/>
              </w:rPr>
              <w:t>Mokiniai ir mokytojai dalyvavo Jurbarko krašto muziejaus, Viešosios bibliotekos, Kultūros centro organizuojamuose renginiuose, projektuose, konferencijose, edukaciniuose užsiėmimuose.</w:t>
            </w:r>
          </w:p>
          <w:p w14:paraId="4480C884" w14:textId="77777777" w:rsidR="006F0F61" w:rsidRPr="006F0F61" w:rsidRDefault="006F0F61" w:rsidP="006F0F61">
            <w:pPr>
              <w:jc w:val="both"/>
              <w:rPr>
                <w:kern w:val="2"/>
                <w:szCs w:val="24"/>
                <w:lang w:eastAsia="en-US"/>
              </w:rPr>
            </w:pPr>
            <w:r w:rsidRPr="006F0F61">
              <w:rPr>
                <w:rFonts w:eastAsia="Calibri"/>
                <w:kern w:val="2"/>
                <w:szCs w:val="24"/>
                <w:lang w:eastAsia="en-US"/>
              </w:rPr>
              <w:t>Kasmet vykdomas projektas „Sklandus perėjimas iš darželio į mokyklą“.</w:t>
            </w:r>
          </w:p>
        </w:tc>
      </w:tr>
      <w:tr w:rsidR="006F0F61" w:rsidRPr="006F0F61" w14:paraId="302F5E94" w14:textId="77777777" w:rsidTr="006F0F61">
        <w:trPr>
          <w:gridAfter w:val="1"/>
          <w:wAfter w:w="236" w:type="dxa"/>
          <w:trHeight w:val="285"/>
        </w:trPr>
        <w:tc>
          <w:tcPr>
            <w:tcW w:w="300" w:type="dxa"/>
            <w:vMerge/>
            <w:tcBorders>
              <w:top w:val="single" w:sz="4" w:space="0" w:color="auto"/>
              <w:left w:val="single" w:sz="4" w:space="0" w:color="auto"/>
              <w:bottom w:val="single" w:sz="4" w:space="0" w:color="auto"/>
              <w:right w:val="single" w:sz="4" w:space="0" w:color="auto"/>
            </w:tcBorders>
            <w:vAlign w:val="center"/>
          </w:tcPr>
          <w:p w14:paraId="617A5062" w14:textId="77777777" w:rsidR="006F0F61" w:rsidRPr="006F0F61" w:rsidRDefault="006F0F61" w:rsidP="006F0F61">
            <w:pPr>
              <w:rPr>
                <w:bCs/>
                <w:kern w:val="2"/>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2C6AB012" w14:textId="77777777" w:rsidR="006F0F61" w:rsidRPr="006F0F61" w:rsidRDefault="006F0F61" w:rsidP="006F0F61">
            <w:pPr>
              <w:jc w:val="both"/>
              <w:rPr>
                <w:kern w:val="2"/>
                <w:szCs w:val="24"/>
                <w:lang w:eastAsia="en-US"/>
              </w:rPr>
            </w:pPr>
            <w:r w:rsidRPr="006F0F61">
              <w:rPr>
                <w:kern w:val="2"/>
                <w:szCs w:val="24"/>
                <w:lang w:eastAsia="en-US"/>
              </w:rPr>
              <w:t>Kita informacija</w:t>
            </w:r>
          </w:p>
        </w:tc>
        <w:tc>
          <w:tcPr>
            <w:tcW w:w="7625" w:type="dxa"/>
            <w:tcBorders>
              <w:top w:val="single" w:sz="4" w:space="0" w:color="auto"/>
              <w:left w:val="single" w:sz="4" w:space="0" w:color="auto"/>
              <w:bottom w:val="single" w:sz="4" w:space="0" w:color="auto"/>
              <w:right w:val="single" w:sz="4" w:space="0" w:color="auto"/>
            </w:tcBorders>
          </w:tcPr>
          <w:p w14:paraId="13F16EAB" w14:textId="77777777" w:rsidR="006F0F61" w:rsidRPr="006F0F61" w:rsidRDefault="006F0F61" w:rsidP="006F0F61">
            <w:pPr>
              <w:jc w:val="both"/>
              <w:rPr>
                <w:kern w:val="2"/>
                <w:szCs w:val="24"/>
                <w:lang w:eastAsia="en-US"/>
              </w:rPr>
            </w:pPr>
          </w:p>
        </w:tc>
      </w:tr>
    </w:tbl>
    <w:p w14:paraId="244C200B" w14:textId="77777777" w:rsidR="006F0F61" w:rsidRDefault="006F0F61" w:rsidP="006F0F61">
      <w:pPr>
        <w:rPr>
          <w:b/>
          <w:bCs/>
          <w:szCs w:val="24"/>
          <w:lang w:eastAsia="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8"/>
        <w:gridCol w:w="4350"/>
        <w:gridCol w:w="3685"/>
        <w:gridCol w:w="3828"/>
      </w:tblGrid>
      <w:tr w:rsidR="006F0F61" w:rsidRPr="006F0F61" w14:paraId="4C2C906D" w14:textId="77777777" w:rsidTr="006F0F61">
        <w:trPr>
          <w:trHeight w:val="277"/>
        </w:trPr>
        <w:tc>
          <w:tcPr>
            <w:tcW w:w="2738" w:type="dxa"/>
            <w:vMerge w:val="restart"/>
            <w:tcBorders>
              <w:top w:val="single" w:sz="4" w:space="0" w:color="000000"/>
              <w:left w:val="single" w:sz="4" w:space="0" w:color="auto"/>
              <w:bottom w:val="single" w:sz="4" w:space="0" w:color="auto"/>
              <w:right w:val="single" w:sz="4" w:space="0" w:color="auto"/>
            </w:tcBorders>
          </w:tcPr>
          <w:p w14:paraId="17761C64" w14:textId="77777777" w:rsidR="006F0F61" w:rsidRPr="006F0F61" w:rsidRDefault="006F0F61" w:rsidP="006F0F61">
            <w:pPr>
              <w:rPr>
                <w:kern w:val="2"/>
                <w:szCs w:val="24"/>
                <w:lang w:eastAsia="en-US"/>
              </w:rPr>
            </w:pPr>
            <w:r w:rsidRPr="006F0F61">
              <w:rPr>
                <w:kern w:val="2"/>
                <w:szCs w:val="24"/>
                <w:lang w:eastAsia="en-US"/>
              </w:rPr>
              <w:t>Žmogiškieji ištekliai ir socialinė aplinka (pagal 2023 m. rugsėjo 1 d. statistiką)</w:t>
            </w:r>
          </w:p>
          <w:p w14:paraId="292BEC5D" w14:textId="77777777" w:rsidR="006F0F61" w:rsidRPr="006F0F61" w:rsidRDefault="006F0F61" w:rsidP="006F0F61">
            <w:pPr>
              <w:rPr>
                <w:kern w:val="2"/>
                <w:szCs w:val="24"/>
                <w:lang w:eastAsia="en-US"/>
              </w:rPr>
            </w:pPr>
          </w:p>
        </w:tc>
        <w:tc>
          <w:tcPr>
            <w:tcW w:w="4350" w:type="dxa"/>
            <w:tcBorders>
              <w:top w:val="single" w:sz="4" w:space="0" w:color="000000"/>
              <w:left w:val="single" w:sz="4" w:space="0" w:color="auto"/>
              <w:bottom w:val="single" w:sz="4" w:space="0" w:color="auto"/>
              <w:right w:val="single" w:sz="4" w:space="0" w:color="auto"/>
            </w:tcBorders>
          </w:tcPr>
          <w:p w14:paraId="151782EE" w14:textId="77777777" w:rsidR="006F0F61" w:rsidRPr="006F0F61" w:rsidRDefault="006F0F61" w:rsidP="006F0F61">
            <w:pPr>
              <w:jc w:val="both"/>
              <w:rPr>
                <w:kern w:val="2"/>
                <w:szCs w:val="24"/>
                <w:lang w:eastAsia="en-US"/>
              </w:rPr>
            </w:pPr>
            <w:r w:rsidRPr="006F0F61">
              <w:rPr>
                <w:kern w:val="2"/>
                <w:szCs w:val="24"/>
                <w:lang w:eastAsia="en-US"/>
              </w:rPr>
              <w:lastRenderedPageBreak/>
              <w:t>Rodiklis:</w:t>
            </w:r>
          </w:p>
        </w:tc>
        <w:tc>
          <w:tcPr>
            <w:tcW w:w="3685" w:type="dxa"/>
            <w:tcBorders>
              <w:top w:val="single" w:sz="4" w:space="0" w:color="000000"/>
              <w:left w:val="single" w:sz="4" w:space="0" w:color="auto"/>
              <w:bottom w:val="single" w:sz="4" w:space="0" w:color="000000"/>
              <w:right w:val="single" w:sz="4" w:space="0" w:color="auto"/>
            </w:tcBorders>
          </w:tcPr>
          <w:p w14:paraId="4206A174" w14:textId="77777777" w:rsidR="006F0F61" w:rsidRPr="006F0F61" w:rsidRDefault="006F0F61" w:rsidP="006F0F61">
            <w:pPr>
              <w:jc w:val="center"/>
              <w:rPr>
                <w:bCs/>
                <w:kern w:val="2"/>
                <w:szCs w:val="24"/>
                <w:lang w:eastAsia="en-US"/>
              </w:rPr>
            </w:pPr>
            <w:r w:rsidRPr="006F0F61">
              <w:rPr>
                <w:bCs/>
                <w:kern w:val="2"/>
                <w:szCs w:val="24"/>
                <w:lang w:eastAsia="en-US"/>
              </w:rPr>
              <w:t>2022 m.</w:t>
            </w:r>
          </w:p>
        </w:tc>
        <w:tc>
          <w:tcPr>
            <w:tcW w:w="3828" w:type="dxa"/>
            <w:tcBorders>
              <w:top w:val="single" w:sz="4" w:space="0" w:color="000000"/>
              <w:left w:val="single" w:sz="4" w:space="0" w:color="auto"/>
              <w:bottom w:val="single" w:sz="4" w:space="0" w:color="000000"/>
              <w:right w:val="single" w:sz="4" w:space="0" w:color="auto"/>
            </w:tcBorders>
          </w:tcPr>
          <w:p w14:paraId="136CB370" w14:textId="77777777" w:rsidR="006F0F61" w:rsidRPr="006F0F61" w:rsidRDefault="006F0F61" w:rsidP="006F0F61">
            <w:pPr>
              <w:jc w:val="center"/>
              <w:rPr>
                <w:bCs/>
                <w:kern w:val="2"/>
                <w:szCs w:val="24"/>
                <w:lang w:eastAsia="en-US"/>
              </w:rPr>
            </w:pPr>
            <w:r w:rsidRPr="006F0F61">
              <w:rPr>
                <w:bCs/>
                <w:kern w:val="2"/>
                <w:szCs w:val="24"/>
                <w:lang w:eastAsia="en-US"/>
              </w:rPr>
              <w:t xml:space="preserve">2023 m. </w:t>
            </w:r>
          </w:p>
        </w:tc>
      </w:tr>
      <w:tr w:rsidR="006F0F61" w:rsidRPr="006F0F61" w14:paraId="72275D45" w14:textId="77777777" w:rsidTr="006F0F61">
        <w:trPr>
          <w:trHeight w:val="277"/>
        </w:trPr>
        <w:tc>
          <w:tcPr>
            <w:tcW w:w="0" w:type="auto"/>
            <w:vMerge/>
            <w:tcBorders>
              <w:top w:val="single" w:sz="4" w:space="0" w:color="000000"/>
              <w:left w:val="single" w:sz="4" w:space="0" w:color="auto"/>
              <w:bottom w:val="single" w:sz="4" w:space="0" w:color="auto"/>
              <w:right w:val="single" w:sz="4" w:space="0" w:color="auto"/>
            </w:tcBorders>
            <w:vAlign w:val="center"/>
          </w:tcPr>
          <w:p w14:paraId="64AD7D09" w14:textId="77777777" w:rsidR="006F0F61" w:rsidRPr="006F0F61" w:rsidRDefault="006F0F61" w:rsidP="006F0F61">
            <w:pPr>
              <w:rPr>
                <w:kern w:val="2"/>
                <w:szCs w:val="24"/>
                <w:lang w:eastAsia="en-US"/>
              </w:rPr>
            </w:pPr>
          </w:p>
        </w:tc>
        <w:tc>
          <w:tcPr>
            <w:tcW w:w="4350" w:type="dxa"/>
            <w:tcBorders>
              <w:top w:val="single" w:sz="4" w:space="0" w:color="000000"/>
              <w:left w:val="single" w:sz="4" w:space="0" w:color="auto"/>
              <w:bottom w:val="single" w:sz="4" w:space="0" w:color="auto"/>
              <w:right w:val="single" w:sz="4" w:space="0" w:color="auto"/>
            </w:tcBorders>
          </w:tcPr>
          <w:p w14:paraId="6EA2C17F" w14:textId="77777777" w:rsidR="006F0F61" w:rsidRPr="006F0F61" w:rsidRDefault="006F0F61" w:rsidP="006F0F61">
            <w:pPr>
              <w:jc w:val="both"/>
              <w:rPr>
                <w:kern w:val="2"/>
                <w:szCs w:val="24"/>
                <w:lang w:eastAsia="en-US"/>
              </w:rPr>
            </w:pPr>
            <w:r w:rsidRPr="006F0F61">
              <w:rPr>
                <w:kern w:val="2"/>
                <w:szCs w:val="24"/>
                <w:lang w:eastAsia="en-US"/>
              </w:rPr>
              <w:t>Pedagoginių darbuotojų ir etatų skaičius</w:t>
            </w:r>
          </w:p>
        </w:tc>
        <w:tc>
          <w:tcPr>
            <w:tcW w:w="3685" w:type="dxa"/>
            <w:tcBorders>
              <w:top w:val="single" w:sz="4" w:space="0" w:color="000000"/>
              <w:left w:val="single" w:sz="4" w:space="0" w:color="auto"/>
              <w:bottom w:val="single" w:sz="4" w:space="0" w:color="000000"/>
              <w:right w:val="single" w:sz="4" w:space="0" w:color="auto"/>
            </w:tcBorders>
          </w:tcPr>
          <w:p w14:paraId="74E60F4F" w14:textId="77777777" w:rsidR="006F0F61" w:rsidRPr="006F0F61" w:rsidRDefault="006F0F61" w:rsidP="006F0F61">
            <w:pPr>
              <w:jc w:val="center"/>
              <w:rPr>
                <w:rFonts w:eastAsia="Calibri"/>
                <w:kern w:val="2"/>
                <w:szCs w:val="24"/>
                <w:lang w:eastAsia="en-US"/>
              </w:rPr>
            </w:pPr>
            <w:r w:rsidRPr="006F0F61">
              <w:rPr>
                <w:rFonts w:eastAsia="Calibri"/>
                <w:kern w:val="2"/>
                <w:szCs w:val="24"/>
                <w:lang w:eastAsia="en-US"/>
              </w:rPr>
              <w:t>41 (31,7)</w:t>
            </w:r>
          </w:p>
        </w:tc>
        <w:tc>
          <w:tcPr>
            <w:tcW w:w="3828" w:type="dxa"/>
            <w:tcBorders>
              <w:top w:val="single" w:sz="4" w:space="0" w:color="000000"/>
              <w:left w:val="single" w:sz="4" w:space="0" w:color="auto"/>
              <w:bottom w:val="single" w:sz="4" w:space="0" w:color="000000"/>
              <w:right w:val="single" w:sz="4" w:space="0" w:color="auto"/>
            </w:tcBorders>
          </w:tcPr>
          <w:p w14:paraId="38E63260" w14:textId="77777777" w:rsidR="006F0F61" w:rsidRPr="006F0F61" w:rsidRDefault="006F0F61" w:rsidP="006F0F61">
            <w:pPr>
              <w:jc w:val="center"/>
              <w:rPr>
                <w:kern w:val="2"/>
                <w:szCs w:val="24"/>
                <w:lang w:eastAsia="en-US"/>
              </w:rPr>
            </w:pPr>
            <w:r w:rsidRPr="006F0F61">
              <w:rPr>
                <w:kern w:val="2"/>
                <w:szCs w:val="24"/>
                <w:lang w:eastAsia="en-US"/>
              </w:rPr>
              <w:t>39 (30,94)</w:t>
            </w:r>
          </w:p>
        </w:tc>
      </w:tr>
      <w:tr w:rsidR="006F0F61" w:rsidRPr="006F0F61" w14:paraId="0E9ACC0D" w14:textId="77777777" w:rsidTr="006F0F61">
        <w:trPr>
          <w:trHeight w:val="308"/>
        </w:trPr>
        <w:tc>
          <w:tcPr>
            <w:tcW w:w="0" w:type="auto"/>
            <w:vMerge/>
            <w:tcBorders>
              <w:top w:val="single" w:sz="4" w:space="0" w:color="000000"/>
              <w:left w:val="single" w:sz="4" w:space="0" w:color="auto"/>
              <w:bottom w:val="single" w:sz="4" w:space="0" w:color="auto"/>
              <w:right w:val="single" w:sz="4" w:space="0" w:color="auto"/>
            </w:tcBorders>
            <w:vAlign w:val="center"/>
          </w:tcPr>
          <w:p w14:paraId="6B321C72" w14:textId="77777777" w:rsidR="006F0F61" w:rsidRPr="006F0F61" w:rsidRDefault="006F0F61" w:rsidP="006F0F61">
            <w:pPr>
              <w:rPr>
                <w:kern w:val="2"/>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7C7A2F55" w14:textId="77777777" w:rsidR="006F0F61" w:rsidRPr="006F0F61" w:rsidRDefault="006F0F61" w:rsidP="006F0F61">
            <w:pPr>
              <w:jc w:val="both"/>
              <w:rPr>
                <w:kern w:val="2"/>
                <w:szCs w:val="24"/>
                <w:lang w:eastAsia="en-US"/>
              </w:rPr>
            </w:pPr>
            <w:r w:rsidRPr="006F0F61">
              <w:rPr>
                <w:kern w:val="2"/>
                <w:szCs w:val="24"/>
                <w:lang w:eastAsia="en-US"/>
              </w:rPr>
              <w:t>Aptarnaujančio personalo ir etatų skaičius</w:t>
            </w:r>
          </w:p>
        </w:tc>
        <w:tc>
          <w:tcPr>
            <w:tcW w:w="3685" w:type="dxa"/>
            <w:tcBorders>
              <w:top w:val="single" w:sz="4" w:space="0" w:color="000000"/>
              <w:left w:val="single" w:sz="4" w:space="0" w:color="auto"/>
              <w:bottom w:val="single" w:sz="4" w:space="0" w:color="000000"/>
              <w:right w:val="single" w:sz="4" w:space="0" w:color="auto"/>
            </w:tcBorders>
          </w:tcPr>
          <w:p w14:paraId="7676BBB3" w14:textId="77777777" w:rsidR="006F0F61" w:rsidRPr="006F0F61" w:rsidRDefault="006F0F61" w:rsidP="006F0F61">
            <w:pPr>
              <w:jc w:val="center"/>
              <w:rPr>
                <w:rFonts w:eastAsia="Calibri"/>
                <w:kern w:val="2"/>
                <w:szCs w:val="24"/>
                <w:lang w:eastAsia="en-US"/>
              </w:rPr>
            </w:pPr>
            <w:r w:rsidRPr="006F0F61">
              <w:rPr>
                <w:rFonts w:eastAsia="Calibri"/>
                <w:kern w:val="2"/>
                <w:szCs w:val="24"/>
                <w:lang w:eastAsia="en-US"/>
              </w:rPr>
              <w:t>35 (36,5)</w:t>
            </w:r>
          </w:p>
        </w:tc>
        <w:tc>
          <w:tcPr>
            <w:tcW w:w="3828" w:type="dxa"/>
            <w:tcBorders>
              <w:top w:val="single" w:sz="4" w:space="0" w:color="000000"/>
              <w:left w:val="single" w:sz="4" w:space="0" w:color="auto"/>
              <w:bottom w:val="single" w:sz="4" w:space="0" w:color="000000"/>
              <w:right w:val="single" w:sz="4" w:space="0" w:color="auto"/>
            </w:tcBorders>
          </w:tcPr>
          <w:p w14:paraId="440BAA8D" w14:textId="77777777" w:rsidR="006F0F61" w:rsidRPr="006F0F61" w:rsidRDefault="006F0F61" w:rsidP="006F0F61">
            <w:pPr>
              <w:jc w:val="center"/>
              <w:rPr>
                <w:kern w:val="2"/>
                <w:szCs w:val="24"/>
                <w:lang w:eastAsia="en-US"/>
              </w:rPr>
            </w:pPr>
            <w:r w:rsidRPr="006F0F61">
              <w:rPr>
                <w:kern w:val="2"/>
                <w:szCs w:val="24"/>
                <w:lang w:eastAsia="en-US"/>
              </w:rPr>
              <w:t>35 (33,37)</w:t>
            </w:r>
          </w:p>
        </w:tc>
      </w:tr>
      <w:tr w:rsidR="006F0F61" w:rsidRPr="006F0F61" w14:paraId="2639021B" w14:textId="77777777" w:rsidTr="006F0F61">
        <w:trPr>
          <w:trHeight w:val="280"/>
        </w:trPr>
        <w:tc>
          <w:tcPr>
            <w:tcW w:w="0" w:type="auto"/>
            <w:vMerge/>
            <w:tcBorders>
              <w:top w:val="single" w:sz="4" w:space="0" w:color="000000"/>
              <w:left w:val="single" w:sz="4" w:space="0" w:color="auto"/>
              <w:bottom w:val="single" w:sz="4" w:space="0" w:color="auto"/>
              <w:right w:val="single" w:sz="4" w:space="0" w:color="auto"/>
            </w:tcBorders>
            <w:vAlign w:val="center"/>
          </w:tcPr>
          <w:p w14:paraId="6392C69E" w14:textId="77777777" w:rsidR="006F0F61" w:rsidRPr="006F0F61" w:rsidRDefault="006F0F61" w:rsidP="006F0F61">
            <w:pPr>
              <w:rPr>
                <w:kern w:val="2"/>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10DA8892" w14:textId="77777777" w:rsidR="006F0F61" w:rsidRPr="006F0F61" w:rsidRDefault="006F0F61" w:rsidP="006F0F61">
            <w:pPr>
              <w:jc w:val="both"/>
              <w:rPr>
                <w:kern w:val="2"/>
                <w:szCs w:val="24"/>
                <w:lang w:eastAsia="en-US"/>
              </w:rPr>
            </w:pPr>
            <w:r w:rsidRPr="006F0F61">
              <w:rPr>
                <w:kern w:val="2"/>
                <w:szCs w:val="24"/>
                <w:lang w:eastAsia="en-US"/>
              </w:rPr>
              <w:t>Mokinių skaičius</w:t>
            </w:r>
          </w:p>
        </w:tc>
        <w:tc>
          <w:tcPr>
            <w:tcW w:w="3685" w:type="dxa"/>
            <w:tcBorders>
              <w:top w:val="single" w:sz="4" w:space="0" w:color="000000"/>
              <w:left w:val="single" w:sz="4" w:space="0" w:color="auto"/>
              <w:bottom w:val="single" w:sz="4" w:space="0" w:color="000000"/>
              <w:right w:val="single" w:sz="4" w:space="0" w:color="auto"/>
            </w:tcBorders>
          </w:tcPr>
          <w:p w14:paraId="2AB61578" w14:textId="77777777" w:rsidR="006F0F61" w:rsidRPr="006F0F61" w:rsidRDefault="006F0F61" w:rsidP="006F0F61">
            <w:pPr>
              <w:jc w:val="center"/>
              <w:rPr>
                <w:rFonts w:eastAsia="Calibri"/>
                <w:kern w:val="2"/>
                <w:szCs w:val="24"/>
                <w:lang w:eastAsia="en-US"/>
              </w:rPr>
            </w:pPr>
            <w:r w:rsidRPr="006F0F61">
              <w:rPr>
                <w:rFonts w:eastAsia="Calibri"/>
                <w:kern w:val="2"/>
                <w:szCs w:val="24"/>
                <w:lang w:eastAsia="en-US"/>
              </w:rPr>
              <w:t>314</w:t>
            </w:r>
          </w:p>
        </w:tc>
        <w:tc>
          <w:tcPr>
            <w:tcW w:w="3828" w:type="dxa"/>
            <w:tcBorders>
              <w:top w:val="single" w:sz="4" w:space="0" w:color="000000"/>
              <w:left w:val="single" w:sz="4" w:space="0" w:color="auto"/>
              <w:bottom w:val="single" w:sz="4" w:space="0" w:color="000000"/>
              <w:right w:val="single" w:sz="4" w:space="0" w:color="auto"/>
            </w:tcBorders>
          </w:tcPr>
          <w:p w14:paraId="26625A90" w14:textId="77777777" w:rsidR="006F0F61" w:rsidRPr="006F0F61" w:rsidRDefault="006F0F61" w:rsidP="006F0F61">
            <w:pPr>
              <w:jc w:val="center"/>
              <w:rPr>
                <w:kern w:val="2"/>
                <w:szCs w:val="24"/>
                <w:lang w:eastAsia="en-US"/>
              </w:rPr>
            </w:pPr>
            <w:r w:rsidRPr="006F0F61">
              <w:rPr>
                <w:kern w:val="2"/>
                <w:szCs w:val="24"/>
                <w:lang w:eastAsia="en-US"/>
              </w:rPr>
              <w:t>292</w:t>
            </w:r>
          </w:p>
        </w:tc>
      </w:tr>
      <w:tr w:rsidR="006F0F61" w:rsidRPr="006F0F61" w14:paraId="0D2E8FA1" w14:textId="77777777" w:rsidTr="006F0F61">
        <w:trPr>
          <w:trHeight w:val="280"/>
        </w:trPr>
        <w:tc>
          <w:tcPr>
            <w:tcW w:w="0" w:type="auto"/>
            <w:vMerge/>
            <w:tcBorders>
              <w:top w:val="single" w:sz="4" w:space="0" w:color="000000"/>
              <w:left w:val="single" w:sz="4" w:space="0" w:color="auto"/>
              <w:bottom w:val="single" w:sz="4" w:space="0" w:color="auto"/>
              <w:right w:val="single" w:sz="4" w:space="0" w:color="auto"/>
            </w:tcBorders>
            <w:vAlign w:val="center"/>
          </w:tcPr>
          <w:p w14:paraId="74129DB2" w14:textId="77777777" w:rsidR="006F0F61" w:rsidRPr="006F0F61" w:rsidRDefault="006F0F61" w:rsidP="006F0F61">
            <w:pPr>
              <w:rPr>
                <w:kern w:val="2"/>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0938B858" w14:textId="77777777" w:rsidR="006F0F61" w:rsidRPr="006F0F61" w:rsidRDefault="006F0F61" w:rsidP="006F0F61">
            <w:pPr>
              <w:jc w:val="both"/>
              <w:rPr>
                <w:kern w:val="2"/>
                <w:szCs w:val="24"/>
                <w:lang w:eastAsia="en-US"/>
              </w:rPr>
            </w:pPr>
            <w:r w:rsidRPr="006F0F61">
              <w:rPr>
                <w:kern w:val="2"/>
                <w:szCs w:val="24"/>
                <w:lang w:eastAsia="en-US"/>
              </w:rPr>
              <w:t>Ikimokyklinukų skaičius</w:t>
            </w:r>
          </w:p>
        </w:tc>
        <w:tc>
          <w:tcPr>
            <w:tcW w:w="3685" w:type="dxa"/>
            <w:tcBorders>
              <w:top w:val="single" w:sz="4" w:space="0" w:color="000000"/>
              <w:left w:val="single" w:sz="4" w:space="0" w:color="auto"/>
              <w:bottom w:val="single" w:sz="4" w:space="0" w:color="000000"/>
              <w:right w:val="single" w:sz="4" w:space="0" w:color="auto"/>
            </w:tcBorders>
          </w:tcPr>
          <w:p w14:paraId="6004B30D" w14:textId="77777777" w:rsidR="006F0F61" w:rsidRPr="006F0F61" w:rsidRDefault="006F0F61" w:rsidP="006F0F61">
            <w:pPr>
              <w:jc w:val="center"/>
              <w:rPr>
                <w:rFonts w:eastAsia="Calibri"/>
                <w:kern w:val="2"/>
                <w:szCs w:val="24"/>
                <w:lang w:eastAsia="en-US"/>
              </w:rPr>
            </w:pPr>
            <w:r w:rsidRPr="006F0F61">
              <w:rPr>
                <w:rFonts w:eastAsia="Calibri"/>
                <w:kern w:val="2"/>
                <w:szCs w:val="24"/>
                <w:lang w:eastAsia="en-US"/>
              </w:rPr>
              <w:t>-</w:t>
            </w:r>
          </w:p>
        </w:tc>
        <w:tc>
          <w:tcPr>
            <w:tcW w:w="3828" w:type="dxa"/>
            <w:tcBorders>
              <w:top w:val="single" w:sz="4" w:space="0" w:color="000000"/>
              <w:left w:val="single" w:sz="4" w:space="0" w:color="auto"/>
              <w:bottom w:val="single" w:sz="4" w:space="0" w:color="000000"/>
              <w:right w:val="single" w:sz="4" w:space="0" w:color="auto"/>
            </w:tcBorders>
          </w:tcPr>
          <w:p w14:paraId="2F55E492" w14:textId="77777777" w:rsidR="006F0F61" w:rsidRPr="006F0F61" w:rsidRDefault="006F0F61" w:rsidP="006F0F61">
            <w:pPr>
              <w:jc w:val="center"/>
              <w:rPr>
                <w:kern w:val="2"/>
                <w:szCs w:val="24"/>
                <w:lang w:eastAsia="en-US"/>
              </w:rPr>
            </w:pPr>
            <w:r w:rsidRPr="006F0F61">
              <w:rPr>
                <w:kern w:val="2"/>
                <w:szCs w:val="24"/>
                <w:lang w:eastAsia="en-US"/>
              </w:rPr>
              <w:t>-</w:t>
            </w:r>
          </w:p>
        </w:tc>
      </w:tr>
      <w:tr w:rsidR="006F0F61" w:rsidRPr="006F0F61" w14:paraId="5450145E" w14:textId="77777777" w:rsidTr="006F0F61">
        <w:trPr>
          <w:trHeight w:val="280"/>
        </w:trPr>
        <w:tc>
          <w:tcPr>
            <w:tcW w:w="0" w:type="auto"/>
            <w:vMerge/>
            <w:tcBorders>
              <w:top w:val="single" w:sz="4" w:space="0" w:color="000000"/>
              <w:left w:val="single" w:sz="4" w:space="0" w:color="auto"/>
              <w:bottom w:val="single" w:sz="4" w:space="0" w:color="auto"/>
              <w:right w:val="single" w:sz="4" w:space="0" w:color="auto"/>
            </w:tcBorders>
            <w:vAlign w:val="center"/>
          </w:tcPr>
          <w:p w14:paraId="4E48DE1E" w14:textId="77777777" w:rsidR="006F0F61" w:rsidRPr="006F0F61" w:rsidRDefault="006F0F61" w:rsidP="006F0F61">
            <w:pPr>
              <w:rPr>
                <w:kern w:val="2"/>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5C7DFB70" w14:textId="77777777" w:rsidR="006F0F61" w:rsidRPr="006F0F61" w:rsidRDefault="006F0F61" w:rsidP="006F0F61">
            <w:pPr>
              <w:jc w:val="both"/>
              <w:rPr>
                <w:kern w:val="2"/>
                <w:szCs w:val="24"/>
                <w:lang w:eastAsia="en-US"/>
              </w:rPr>
            </w:pPr>
            <w:r w:rsidRPr="006F0F61">
              <w:rPr>
                <w:kern w:val="2"/>
                <w:szCs w:val="24"/>
                <w:lang w:eastAsia="en-US"/>
              </w:rPr>
              <w:t>Priešmokyklinukų skaičius</w:t>
            </w:r>
          </w:p>
        </w:tc>
        <w:tc>
          <w:tcPr>
            <w:tcW w:w="3685" w:type="dxa"/>
            <w:tcBorders>
              <w:top w:val="single" w:sz="4" w:space="0" w:color="000000"/>
              <w:left w:val="single" w:sz="4" w:space="0" w:color="auto"/>
              <w:bottom w:val="single" w:sz="4" w:space="0" w:color="000000"/>
              <w:right w:val="single" w:sz="4" w:space="0" w:color="auto"/>
            </w:tcBorders>
          </w:tcPr>
          <w:p w14:paraId="6823F005" w14:textId="77777777" w:rsidR="006F0F61" w:rsidRPr="006F0F61" w:rsidRDefault="006F0F61" w:rsidP="006F0F61">
            <w:pPr>
              <w:jc w:val="center"/>
              <w:rPr>
                <w:rFonts w:eastAsia="Calibri"/>
                <w:kern w:val="2"/>
                <w:szCs w:val="24"/>
                <w:lang w:eastAsia="en-US"/>
              </w:rPr>
            </w:pPr>
            <w:r w:rsidRPr="006F0F61">
              <w:rPr>
                <w:rFonts w:eastAsia="Calibri"/>
                <w:kern w:val="2"/>
                <w:szCs w:val="24"/>
                <w:lang w:eastAsia="en-US"/>
              </w:rPr>
              <w:t>-</w:t>
            </w:r>
          </w:p>
        </w:tc>
        <w:tc>
          <w:tcPr>
            <w:tcW w:w="3828" w:type="dxa"/>
            <w:tcBorders>
              <w:top w:val="single" w:sz="4" w:space="0" w:color="000000"/>
              <w:left w:val="single" w:sz="4" w:space="0" w:color="auto"/>
              <w:bottom w:val="single" w:sz="4" w:space="0" w:color="000000"/>
              <w:right w:val="single" w:sz="4" w:space="0" w:color="auto"/>
            </w:tcBorders>
          </w:tcPr>
          <w:p w14:paraId="45BBE514" w14:textId="77777777" w:rsidR="006F0F61" w:rsidRPr="006F0F61" w:rsidRDefault="006F0F61" w:rsidP="006F0F61">
            <w:pPr>
              <w:jc w:val="center"/>
              <w:rPr>
                <w:kern w:val="2"/>
                <w:szCs w:val="24"/>
                <w:lang w:eastAsia="en-US"/>
              </w:rPr>
            </w:pPr>
            <w:r w:rsidRPr="006F0F61">
              <w:rPr>
                <w:kern w:val="2"/>
                <w:szCs w:val="24"/>
                <w:lang w:eastAsia="en-US"/>
              </w:rPr>
              <w:t>-</w:t>
            </w:r>
          </w:p>
        </w:tc>
      </w:tr>
      <w:tr w:rsidR="006F0F61" w:rsidRPr="006F0F61" w14:paraId="2AF4F22F" w14:textId="77777777" w:rsidTr="006F0F61">
        <w:trPr>
          <w:trHeight w:val="322"/>
        </w:trPr>
        <w:tc>
          <w:tcPr>
            <w:tcW w:w="0" w:type="auto"/>
            <w:vMerge/>
            <w:tcBorders>
              <w:top w:val="single" w:sz="4" w:space="0" w:color="000000"/>
              <w:left w:val="single" w:sz="4" w:space="0" w:color="auto"/>
              <w:bottom w:val="single" w:sz="4" w:space="0" w:color="auto"/>
              <w:right w:val="single" w:sz="4" w:space="0" w:color="auto"/>
            </w:tcBorders>
            <w:vAlign w:val="center"/>
          </w:tcPr>
          <w:p w14:paraId="1F2A4DC4" w14:textId="77777777" w:rsidR="006F0F61" w:rsidRPr="006F0F61" w:rsidRDefault="006F0F61" w:rsidP="006F0F61">
            <w:pPr>
              <w:rPr>
                <w:kern w:val="2"/>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34F61618" w14:textId="77777777" w:rsidR="006F0F61" w:rsidRPr="006F0F61" w:rsidRDefault="006F0F61" w:rsidP="006F0F61">
            <w:pPr>
              <w:jc w:val="both"/>
              <w:rPr>
                <w:kern w:val="2"/>
                <w:szCs w:val="24"/>
                <w:lang w:eastAsia="en-US"/>
              </w:rPr>
            </w:pPr>
            <w:r w:rsidRPr="006F0F61">
              <w:rPr>
                <w:kern w:val="2"/>
                <w:szCs w:val="24"/>
                <w:lang w:eastAsia="en-US"/>
              </w:rPr>
              <w:t>Bendras ugdomų ir mokomų asmenų skaičius</w:t>
            </w:r>
          </w:p>
        </w:tc>
        <w:tc>
          <w:tcPr>
            <w:tcW w:w="3685" w:type="dxa"/>
            <w:tcBorders>
              <w:top w:val="single" w:sz="4" w:space="0" w:color="000000"/>
              <w:left w:val="single" w:sz="4" w:space="0" w:color="auto"/>
              <w:bottom w:val="single" w:sz="4" w:space="0" w:color="000000"/>
              <w:right w:val="single" w:sz="4" w:space="0" w:color="auto"/>
            </w:tcBorders>
          </w:tcPr>
          <w:p w14:paraId="5FBA71E8" w14:textId="77777777" w:rsidR="006F0F61" w:rsidRPr="006F0F61" w:rsidRDefault="006F0F61" w:rsidP="006F0F61">
            <w:pPr>
              <w:spacing w:before="200" w:after="160"/>
              <w:ind w:right="-96"/>
              <w:jc w:val="center"/>
              <w:rPr>
                <w:rFonts w:eastAsia="Calibri"/>
                <w:iCs/>
                <w:smallCaps/>
                <w:kern w:val="2"/>
                <w:szCs w:val="24"/>
                <w:lang w:eastAsia="en-US"/>
              </w:rPr>
            </w:pPr>
            <w:r w:rsidRPr="006F0F61">
              <w:rPr>
                <w:rFonts w:eastAsia="Calibri"/>
                <w:iCs/>
                <w:smallCaps/>
                <w:kern w:val="2"/>
                <w:szCs w:val="24"/>
                <w:lang w:eastAsia="en-US"/>
              </w:rPr>
              <w:t>314</w:t>
            </w:r>
          </w:p>
        </w:tc>
        <w:tc>
          <w:tcPr>
            <w:tcW w:w="3828" w:type="dxa"/>
            <w:tcBorders>
              <w:top w:val="single" w:sz="4" w:space="0" w:color="000000"/>
              <w:left w:val="single" w:sz="4" w:space="0" w:color="auto"/>
              <w:bottom w:val="single" w:sz="4" w:space="0" w:color="000000"/>
              <w:right w:val="single" w:sz="4" w:space="0" w:color="auto"/>
            </w:tcBorders>
            <w:vAlign w:val="center"/>
          </w:tcPr>
          <w:p w14:paraId="0EB0AD4C" w14:textId="77777777" w:rsidR="006F0F61" w:rsidRPr="006F0F61" w:rsidRDefault="006F0F61" w:rsidP="006F0F61">
            <w:pPr>
              <w:jc w:val="center"/>
              <w:rPr>
                <w:kern w:val="2"/>
                <w:szCs w:val="24"/>
                <w:lang w:eastAsia="en-US"/>
              </w:rPr>
            </w:pPr>
            <w:r w:rsidRPr="006F0F61">
              <w:rPr>
                <w:kern w:val="2"/>
                <w:szCs w:val="24"/>
                <w:lang w:eastAsia="en-US"/>
              </w:rPr>
              <w:t>292</w:t>
            </w:r>
          </w:p>
        </w:tc>
      </w:tr>
      <w:tr w:rsidR="006F0F61" w:rsidRPr="006F0F61" w14:paraId="3291B2C1" w14:textId="77777777" w:rsidTr="006F0F61">
        <w:trPr>
          <w:trHeight w:val="552"/>
        </w:trPr>
        <w:tc>
          <w:tcPr>
            <w:tcW w:w="0" w:type="auto"/>
            <w:vMerge/>
            <w:tcBorders>
              <w:top w:val="single" w:sz="4" w:space="0" w:color="000000"/>
              <w:left w:val="single" w:sz="4" w:space="0" w:color="auto"/>
              <w:bottom w:val="single" w:sz="4" w:space="0" w:color="auto"/>
              <w:right w:val="single" w:sz="4" w:space="0" w:color="auto"/>
            </w:tcBorders>
            <w:vAlign w:val="center"/>
          </w:tcPr>
          <w:p w14:paraId="11FBCA0C" w14:textId="77777777" w:rsidR="006F0F61" w:rsidRPr="006F0F61" w:rsidRDefault="006F0F61" w:rsidP="006F0F61">
            <w:pPr>
              <w:rPr>
                <w:kern w:val="2"/>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0382E117" w14:textId="77777777" w:rsidR="006F0F61" w:rsidRPr="006F0F61" w:rsidRDefault="006F0F61" w:rsidP="006F0F61">
            <w:pPr>
              <w:rPr>
                <w:kern w:val="2"/>
                <w:szCs w:val="24"/>
                <w:lang w:eastAsia="en-US"/>
              </w:rPr>
            </w:pPr>
            <w:r w:rsidRPr="006F0F61">
              <w:rPr>
                <w:kern w:val="2"/>
                <w:szCs w:val="24"/>
                <w:lang w:eastAsia="en-US"/>
              </w:rPr>
              <w:t>Pavežamų asmenų skaičius ir procentas nuo visų mokinių ir priešmokyklinukų skaičiaus</w:t>
            </w:r>
          </w:p>
        </w:tc>
        <w:tc>
          <w:tcPr>
            <w:tcW w:w="3685" w:type="dxa"/>
            <w:tcBorders>
              <w:top w:val="single" w:sz="4" w:space="0" w:color="000000"/>
              <w:left w:val="single" w:sz="4" w:space="0" w:color="auto"/>
              <w:bottom w:val="single" w:sz="4" w:space="0" w:color="000000"/>
              <w:right w:val="single" w:sz="4" w:space="0" w:color="auto"/>
            </w:tcBorders>
          </w:tcPr>
          <w:p w14:paraId="4F01E1B5" w14:textId="77777777" w:rsidR="006F0F61" w:rsidRPr="00AA3F17" w:rsidRDefault="006F0F61" w:rsidP="006F0F61">
            <w:pPr>
              <w:pStyle w:val="NoSpacing1"/>
              <w:jc w:val="center"/>
              <w:rPr>
                <w:rFonts w:ascii="Times New Roman" w:hAnsi="Times New Roman"/>
                <w:kern w:val="2"/>
                <w:sz w:val="24"/>
                <w:szCs w:val="24"/>
                <w:lang w:eastAsia="en-US"/>
              </w:rPr>
            </w:pPr>
            <w:r w:rsidRPr="00AA3F17">
              <w:rPr>
                <w:rFonts w:ascii="Times New Roman" w:hAnsi="Times New Roman"/>
                <w:kern w:val="2"/>
                <w:sz w:val="24"/>
                <w:szCs w:val="24"/>
                <w:lang w:eastAsia="en-US"/>
              </w:rPr>
              <w:t>25 (8</w:t>
            </w:r>
            <w:r w:rsidR="0034144B" w:rsidRPr="00AA3F17">
              <w:rPr>
                <w:rFonts w:ascii="Times New Roman" w:hAnsi="Times New Roman"/>
                <w:kern w:val="2"/>
                <w:sz w:val="24"/>
                <w:szCs w:val="24"/>
                <w:lang w:eastAsia="en-US"/>
              </w:rPr>
              <w:t xml:space="preserve"> </w:t>
            </w:r>
            <w:r w:rsidRPr="00AA3F17">
              <w:rPr>
                <w:rFonts w:ascii="Times New Roman" w:hAnsi="Times New Roman"/>
                <w:kern w:val="2"/>
                <w:sz w:val="24"/>
                <w:szCs w:val="24"/>
                <w:lang w:eastAsia="en-US"/>
              </w:rPr>
              <w:t>%)</w:t>
            </w:r>
          </w:p>
        </w:tc>
        <w:tc>
          <w:tcPr>
            <w:tcW w:w="3828" w:type="dxa"/>
            <w:tcBorders>
              <w:top w:val="single" w:sz="4" w:space="0" w:color="000000"/>
              <w:left w:val="single" w:sz="4" w:space="0" w:color="auto"/>
              <w:bottom w:val="single" w:sz="4" w:space="0" w:color="000000"/>
              <w:right w:val="single" w:sz="4" w:space="0" w:color="auto"/>
            </w:tcBorders>
          </w:tcPr>
          <w:p w14:paraId="163CB8FE" w14:textId="77777777" w:rsidR="006F0F61" w:rsidRPr="00AA3F17" w:rsidRDefault="006F0F61" w:rsidP="006F0F61">
            <w:pPr>
              <w:jc w:val="center"/>
              <w:rPr>
                <w:kern w:val="2"/>
                <w:szCs w:val="24"/>
                <w:lang w:eastAsia="en-US"/>
              </w:rPr>
            </w:pPr>
            <w:r w:rsidRPr="00AA3F17">
              <w:rPr>
                <w:kern w:val="2"/>
                <w:szCs w:val="24"/>
                <w:lang w:eastAsia="en-US"/>
              </w:rPr>
              <w:t>18 (6,1</w:t>
            </w:r>
            <w:r w:rsidR="0034144B" w:rsidRPr="00AA3F17">
              <w:rPr>
                <w:kern w:val="2"/>
                <w:szCs w:val="24"/>
                <w:lang w:eastAsia="en-US"/>
              </w:rPr>
              <w:t xml:space="preserve"> </w:t>
            </w:r>
            <w:r w:rsidRPr="00AA3F17">
              <w:rPr>
                <w:kern w:val="2"/>
                <w:szCs w:val="24"/>
                <w:lang w:eastAsia="en-US"/>
              </w:rPr>
              <w:t>%)</w:t>
            </w:r>
          </w:p>
        </w:tc>
      </w:tr>
      <w:tr w:rsidR="006F0F61" w:rsidRPr="006F0F61" w14:paraId="0BAC6209" w14:textId="77777777" w:rsidTr="006F0F61">
        <w:trPr>
          <w:trHeight w:val="552"/>
        </w:trPr>
        <w:tc>
          <w:tcPr>
            <w:tcW w:w="0" w:type="auto"/>
            <w:vMerge/>
            <w:tcBorders>
              <w:top w:val="single" w:sz="4" w:space="0" w:color="000000"/>
              <w:left w:val="single" w:sz="4" w:space="0" w:color="auto"/>
              <w:bottom w:val="single" w:sz="4" w:space="0" w:color="auto"/>
              <w:right w:val="single" w:sz="4" w:space="0" w:color="auto"/>
            </w:tcBorders>
            <w:vAlign w:val="center"/>
          </w:tcPr>
          <w:p w14:paraId="1A835EB9" w14:textId="77777777" w:rsidR="006F0F61" w:rsidRPr="006F0F61" w:rsidRDefault="006F0F61" w:rsidP="006F0F61">
            <w:pPr>
              <w:rPr>
                <w:kern w:val="2"/>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3CD5930F" w14:textId="77777777" w:rsidR="006F0F61" w:rsidRPr="006F0F61" w:rsidRDefault="006F0F61" w:rsidP="006F0F61">
            <w:pPr>
              <w:rPr>
                <w:kern w:val="2"/>
                <w:szCs w:val="24"/>
                <w:lang w:eastAsia="en-US"/>
              </w:rPr>
            </w:pPr>
            <w:r w:rsidRPr="006F0F61">
              <w:rPr>
                <w:kern w:val="2"/>
                <w:szCs w:val="24"/>
                <w:lang w:eastAsia="en-US"/>
              </w:rPr>
              <w:t>Nemokamai maitinamų asmenų skaičius ir procentas nuo visų mokinių ir priešmokyklinukų skaičiaus</w:t>
            </w:r>
          </w:p>
        </w:tc>
        <w:tc>
          <w:tcPr>
            <w:tcW w:w="3685" w:type="dxa"/>
            <w:tcBorders>
              <w:top w:val="single" w:sz="4" w:space="0" w:color="000000"/>
              <w:left w:val="single" w:sz="4" w:space="0" w:color="auto"/>
              <w:bottom w:val="single" w:sz="4" w:space="0" w:color="auto"/>
              <w:right w:val="single" w:sz="4" w:space="0" w:color="auto"/>
            </w:tcBorders>
          </w:tcPr>
          <w:p w14:paraId="68777499" w14:textId="77777777" w:rsidR="006F0F61" w:rsidRPr="00AA3F17" w:rsidRDefault="006F0F61" w:rsidP="006F0F61">
            <w:pPr>
              <w:pStyle w:val="NoSpacing1"/>
              <w:jc w:val="center"/>
              <w:rPr>
                <w:rFonts w:ascii="Times New Roman" w:hAnsi="Times New Roman"/>
                <w:kern w:val="2"/>
                <w:sz w:val="24"/>
                <w:szCs w:val="24"/>
                <w:lang w:eastAsia="en-US"/>
              </w:rPr>
            </w:pPr>
            <w:r w:rsidRPr="00AA3F17">
              <w:rPr>
                <w:rFonts w:ascii="Times New Roman" w:hAnsi="Times New Roman"/>
                <w:kern w:val="2"/>
                <w:sz w:val="24"/>
                <w:szCs w:val="24"/>
                <w:lang w:eastAsia="en-US"/>
              </w:rPr>
              <w:t>94 (30,3</w:t>
            </w:r>
            <w:r w:rsidR="0034144B" w:rsidRPr="00AA3F17">
              <w:rPr>
                <w:rFonts w:ascii="Times New Roman" w:hAnsi="Times New Roman"/>
                <w:kern w:val="2"/>
                <w:sz w:val="24"/>
                <w:szCs w:val="24"/>
                <w:lang w:eastAsia="en-US"/>
              </w:rPr>
              <w:t xml:space="preserve"> </w:t>
            </w:r>
            <w:r w:rsidRPr="00AA3F17">
              <w:rPr>
                <w:rFonts w:ascii="Times New Roman" w:hAnsi="Times New Roman"/>
                <w:kern w:val="2"/>
                <w:sz w:val="24"/>
                <w:szCs w:val="24"/>
                <w:lang w:eastAsia="en-US"/>
              </w:rPr>
              <w:t>%)</w:t>
            </w:r>
          </w:p>
        </w:tc>
        <w:tc>
          <w:tcPr>
            <w:tcW w:w="3828" w:type="dxa"/>
            <w:tcBorders>
              <w:top w:val="single" w:sz="4" w:space="0" w:color="000000"/>
              <w:left w:val="single" w:sz="4" w:space="0" w:color="auto"/>
              <w:bottom w:val="single" w:sz="4" w:space="0" w:color="auto"/>
              <w:right w:val="single" w:sz="4" w:space="0" w:color="auto"/>
            </w:tcBorders>
          </w:tcPr>
          <w:p w14:paraId="49C0FCBB" w14:textId="77777777" w:rsidR="006F0F61" w:rsidRPr="00AA3F17" w:rsidRDefault="006F0F61" w:rsidP="006F0F61">
            <w:pPr>
              <w:jc w:val="center"/>
              <w:rPr>
                <w:kern w:val="2"/>
                <w:szCs w:val="24"/>
                <w:lang w:eastAsia="en-US"/>
              </w:rPr>
            </w:pPr>
            <w:r w:rsidRPr="00AA3F17">
              <w:rPr>
                <w:kern w:val="2"/>
                <w:szCs w:val="24"/>
                <w:lang w:eastAsia="en-US"/>
              </w:rPr>
              <w:t>124 (47,9</w:t>
            </w:r>
            <w:r w:rsidR="0034144B" w:rsidRPr="00AA3F17">
              <w:rPr>
                <w:kern w:val="2"/>
                <w:szCs w:val="24"/>
                <w:lang w:eastAsia="en-US"/>
              </w:rPr>
              <w:t xml:space="preserve"> </w:t>
            </w:r>
            <w:r w:rsidRPr="00AA3F17">
              <w:rPr>
                <w:kern w:val="2"/>
                <w:szCs w:val="24"/>
                <w:lang w:eastAsia="en-US"/>
              </w:rPr>
              <w:t>%)</w:t>
            </w:r>
          </w:p>
        </w:tc>
      </w:tr>
    </w:tbl>
    <w:p w14:paraId="6F39AD69" w14:textId="77777777" w:rsidR="006F0F61" w:rsidRDefault="006F0F61" w:rsidP="006F0F61">
      <w:pPr>
        <w:jc w:val="center"/>
        <w:rPr>
          <w:szCs w:val="24"/>
          <w:lang w:eastAsia="en-US"/>
        </w:rPr>
      </w:pPr>
    </w:p>
    <w:p w14:paraId="12BE938D" w14:textId="77777777" w:rsidR="006F0F61" w:rsidRDefault="006F0F61" w:rsidP="006F0F61">
      <w:pPr>
        <w:rPr>
          <w:rFonts w:eastAsia="Calibri"/>
          <w:szCs w:val="24"/>
          <w:lang w:eastAsia="en-US"/>
        </w:rPr>
      </w:pPr>
    </w:p>
    <w:p w14:paraId="342F4C2F" w14:textId="77777777" w:rsidR="006F0F61" w:rsidRDefault="006F0F61" w:rsidP="006F0F61">
      <w:pPr>
        <w:suppressAutoHyphens/>
        <w:spacing w:before="120" w:after="120"/>
        <w:jc w:val="center"/>
        <w:textAlignment w:val="baseline"/>
        <w:rPr>
          <w:rFonts w:eastAsia="Calibri"/>
          <w:b/>
          <w:color w:val="808080"/>
          <w:sz w:val="20"/>
          <w:szCs w:val="24"/>
        </w:rPr>
      </w:pPr>
      <w:r>
        <w:rPr>
          <w:b/>
          <w:bCs/>
          <w:szCs w:val="24"/>
        </w:rPr>
        <w:t xml:space="preserve">II SKYRIUS. </w:t>
      </w:r>
      <w:r>
        <w:rPr>
          <w:rFonts w:eastAsia="Calibri"/>
          <w:b/>
          <w:bCs/>
          <w:szCs w:val="24"/>
        </w:rPr>
        <w:t>ĮSTAIGOS PLANŲ IR PROGRAMŲ ĮGYVENDINIMAS</w:t>
      </w:r>
    </w:p>
    <w:p w14:paraId="158A7740" w14:textId="77777777" w:rsidR="006F0F61" w:rsidRDefault="006F0F61" w:rsidP="006F0F61">
      <w:pPr>
        <w:rPr>
          <w:rFonts w:eastAsia="Calibri"/>
          <w:szCs w:val="24"/>
          <w:lang w:eastAsia="en-US"/>
        </w:rPr>
      </w:pPr>
    </w:p>
    <w:p w14:paraId="7C0D935C" w14:textId="77777777" w:rsidR="006F0F61" w:rsidRDefault="006F0F61" w:rsidP="006F0F61">
      <w:pPr>
        <w:jc w:val="both"/>
        <w:rPr>
          <w:rFonts w:eastAsia="Calibri"/>
          <w:bCs/>
          <w:iCs/>
          <w:szCs w:val="24"/>
        </w:rPr>
      </w:pPr>
      <w:r>
        <w:rPr>
          <w:rFonts w:eastAsia="Calibri"/>
          <w:bCs/>
          <w:iCs/>
          <w:szCs w:val="24"/>
        </w:rPr>
        <w:t>Tikslas 1. Tobulinti ugdymo ir priežiūros kokybę, užtikrinant ugdymo turinio kaitą.</w:t>
      </w:r>
    </w:p>
    <w:p w14:paraId="2FDB2AB5" w14:textId="77777777" w:rsidR="00C06695" w:rsidRDefault="00C06695" w:rsidP="006F0F61">
      <w:pPr>
        <w:ind w:firstLine="709"/>
        <w:jc w:val="both"/>
        <w:rPr>
          <w:rFonts w:eastAsia="Calibri"/>
          <w:bCs/>
          <w:iCs/>
          <w:szCs w:val="24"/>
        </w:rPr>
      </w:pPr>
    </w:p>
    <w:p w14:paraId="06022604" w14:textId="2162AEBB" w:rsidR="006F0F61" w:rsidRDefault="006F0F61" w:rsidP="006F0F61">
      <w:pPr>
        <w:ind w:firstLine="709"/>
        <w:jc w:val="both"/>
        <w:rPr>
          <w:rFonts w:eastAsia="Calibri"/>
          <w:bCs/>
          <w:iCs/>
          <w:szCs w:val="24"/>
        </w:rPr>
      </w:pPr>
      <w:r w:rsidRPr="00AA3F17">
        <w:rPr>
          <w:rFonts w:eastAsia="Calibri"/>
          <w:bCs/>
          <w:iCs/>
          <w:szCs w:val="24"/>
        </w:rPr>
        <w:t>Anglų kalbos pagilintam mokymui sudaryta pagilinto mokymo grupė nuo 5-os klasės pagal mokinių gebėjimus. Panaudojus Kokybės krepšelio lėšas</w:t>
      </w:r>
      <w:r w:rsidR="0034144B" w:rsidRPr="00AA3F17">
        <w:rPr>
          <w:rFonts w:eastAsia="Calibri"/>
          <w:bCs/>
          <w:iCs/>
          <w:szCs w:val="24"/>
        </w:rPr>
        <w:t>,</w:t>
      </w:r>
      <w:r w:rsidRPr="00AA3F17">
        <w:rPr>
          <w:rFonts w:eastAsia="Calibri"/>
          <w:bCs/>
          <w:iCs/>
          <w:szCs w:val="24"/>
        </w:rPr>
        <w:t xml:space="preserve"> įrengtos dvi išmaniosios klasės, kurių dėka mokiniai turi galimybes mokytis informacinio raštingumo, nes iki šiol sąlygos buvo labai minimalios (viename kabinete – 12 kompiuterių). 1–4 ir 7-ose klasėse viena savaitinė pamoka skiriama pasirenkamajam dalykui – informacinėms technologijoms. Visų dalykų mokytojai pagal sudarytą tvarkaraštį turi galimybę vesti pamokas išmanioje erdvėje. Čia jiems suteikiama daugiau laisvės, bet tuo pačiu – ir atsakomybės atliekant užduotis. Mokiniai, naudodamiesi tokiomis programomis</w:t>
      </w:r>
      <w:r w:rsidR="0034144B" w:rsidRPr="00AA3F17">
        <w:rPr>
          <w:rFonts w:eastAsia="Calibri"/>
          <w:bCs/>
          <w:iCs/>
          <w:szCs w:val="24"/>
        </w:rPr>
        <w:t>,</w:t>
      </w:r>
      <w:r w:rsidRPr="00AA3F17">
        <w:rPr>
          <w:rFonts w:eastAsia="Calibri"/>
          <w:bCs/>
          <w:iCs/>
          <w:szCs w:val="24"/>
        </w:rPr>
        <w:t xml:space="preserve"> gali individualiai atlikti užduotis EDUKA, EMA pratybose, jas pateikti mokytojui. Atlikus 3–8 klasių mokinių apklausą</w:t>
      </w:r>
      <w:r w:rsidR="0034144B" w:rsidRPr="00AA3F17">
        <w:rPr>
          <w:rFonts w:eastAsia="Calibri"/>
          <w:bCs/>
          <w:iCs/>
          <w:szCs w:val="24"/>
        </w:rPr>
        <w:t>,</w:t>
      </w:r>
      <w:r w:rsidRPr="00AA3F17">
        <w:rPr>
          <w:rFonts w:eastAsia="Calibri"/>
          <w:bCs/>
          <w:iCs/>
          <w:szCs w:val="24"/>
        </w:rPr>
        <w:t xml:space="preserve"> 58 proc. apklaustųjų nurodė, kad konsultacijų laikas jiems yra patogus, 92 proc. teigė, kad tai padeda jiems siekti geresnių rezultatų, nes mokytojai papildomai paaiškina nesuprastus pamokoje daly</w:t>
      </w:r>
      <w:r w:rsidR="00C06695" w:rsidRPr="00AA3F17">
        <w:rPr>
          <w:rFonts w:eastAsia="Calibri"/>
          <w:bCs/>
          <w:iCs/>
          <w:szCs w:val="24"/>
        </w:rPr>
        <w:t xml:space="preserve">kus. </w:t>
      </w:r>
      <w:r w:rsidR="0034144B" w:rsidRPr="00AA3F17">
        <w:rPr>
          <w:rFonts w:eastAsia="Calibri"/>
          <w:bCs/>
          <w:iCs/>
          <w:szCs w:val="24"/>
        </w:rPr>
        <w:t>U</w:t>
      </w:r>
      <w:r w:rsidR="00C06695" w:rsidRPr="00AA3F17">
        <w:rPr>
          <w:rFonts w:eastAsia="Calibri"/>
          <w:bCs/>
          <w:iCs/>
          <w:szCs w:val="24"/>
        </w:rPr>
        <w:t>žtikrinant mokinių ugdymo</w:t>
      </w:r>
      <w:r w:rsidRPr="00AA3F17">
        <w:rPr>
          <w:rFonts w:eastAsia="Calibri"/>
          <w:bCs/>
          <w:iCs/>
          <w:szCs w:val="24"/>
        </w:rPr>
        <w:t>(</w:t>
      </w:r>
      <w:proofErr w:type="spellStart"/>
      <w:r w:rsidRPr="00AA3F17">
        <w:rPr>
          <w:rFonts w:eastAsia="Calibri"/>
          <w:bCs/>
          <w:iCs/>
          <w:szCs w:val="24"/>
        </w:rPr>
        <w:t>si</w:t>
      </w:r>
      <w:proofErr w:type="spellEnd"/>
      <w:r w:rsidRPr="00AA3F17">
        <w:rPr>
          <w:rFonts w:eastAsia="Calibri"/>
          <w:bCs/>
          <w:iCs/>
          <w:szCs w:val="24"/>
        </w:rPr>
        <w:t>) pažangą, įrengti konsultaciniai centrai 1–4 klasėse po 1 val. kiekvienai klasei, 5–8 klasių mokiniams lietuvių kalbos – 4 val. per savaitę, anglų kalbos – 3 val. per savaitę, matematikos – 6 val. per savaitę, vokiečių kalbos, rusų kalbos, fizikos, istorijos, geografijos, biologijos, chemijos – po 1 val. per savaitę. Pamokos aspekto „Vadovavimas kiekvieno mokinio ugdymuisi“ apibendrintas vertinimas: labai gerai – 13,52 proc., gerai – 43,24 proc., patenkinamai</w:t>
      </w:r>
      <w:r w:rsidR="0034144B" w:rsidRPr="00AA3F17">
        <w:rPr>
          <w:rFonts w:eastAsia="Calibri"/>
          <w:bCs/>
          <w:iCs/>
          <w:szCs w:val="24"/>
        </w:rPr>
        <w:t> </w:t>
      </w:r>
      <w:r w:rsidRPr="00AA3F17">
        <w:rPr>
          <w:rFonts w:eastAsia="Calibri"/>
          <w:bCs/>
          <w:iCs/>
          <w:szCs w:val="24"/>
        </w:rPr>
        <w:t xml:space="preserve">– 43,24 </w:t>
      </w:r>
      <w:r w:rsidR="00123A2D">
        <w:rPr>
          <w:rFonts w:eastAsia="Calibri"/>
          <w:bCs/>
          <w:iCs/>
          <w:szCs w:val="24"/>
        </w:rPr>
        <w:t> </w:t>
      </w:r>
      <w:r w:rsidRPr="00AA3F17">
        <w:rPr>
          <w:rFonts w:eastAsia="Calibri"/>
          <w:bCs/>
          <w:iCs/>
          <w:szCs w:val="24"/>
        </w:rPr>
        <w:t>proc. pamokų. Pamokos aspektas diferencijavimas, individualizavimas, suasmeninimas išskirtas 20 pamokų (54,05 proc.), jo apibendrintas vertinimas: labai gerai – 10,81 proc., gerai – 21,62 proc., patenkinamai – 18,92 proc., prastai – 2,70 proc</w:t>
      </w:r>
      <w:r>
        <w:rPr>
          <w:rFonts w:eastAsia="Calibri"/>
          <w:bCs/>
          <w:iCs/>
          <w:szCs w:val="24"/>
        </w:rPr>
        <w:t>. pamokų.</w:t>
      </w:r>
    </w:p>
    <w:p w14:paraId="1B792D24" w14:textId="77777777" w:rsidR="006F0F61" w:rsidRDefault="006F0F61" w:rsidP="006F0F61">
      <w:pPr>
        <w:ind w:firstLine="709"/>
        <w:jc w:val="both"/>
        <w:rPr>
          <w:rFonts w:eastAsia="Calibri"/>
          <w:bCs/>
          <w:iCs/>
          <w:szCs w:val="24"/>
        </w:rPr>
      </w:pPr>
    </w:p>
    <w:p w14:paraId="12C56EB6" w14:textId="77777777" w:rsidR="0034144B" w:rsidRDefault="0034144B" w:rsidP="006F0F61">
      <w:pPr>
        <w:ind w:firstLine="709"/>
        <w:jc w:val="both"/>
        <w:rPr>
          <w:rFonts w:eastAsia="Calibri"/>
          <w:bCs/>
          <w:iCs/>
          <w:szCs w:val="24"/>
        </w:rPr>
      </w:pPr>
    </w:p>
    <w:p w14:paraId="3B34EB2C" w14:textId="77777777" w:rsidR="0034144B" w:rsidRDefault="0034144B" w:rsidP="006F0F61">
      <w:pPr>
        <w:ind w:firstLine="709"/>
        <w:jc w:val="both"/>
        <w:rPr>
          <w:rFonts w:eastAsia="Calibri"/>
          <w:bCs/>
          <w:iCs/>
          <w:szCs w:val="24"/>
        </w:rPr>
      </w:pPr>
    </w:p>
    <w:p w14:paraId="782ED385" w14:textId="77777777" w:rsidR="006F0F61" w:rsidRDefault="006F0F61" w:rsidP="006F0F61">
      <w:pPr>
        <w:jc w:val="both"/>
        <w:rPr>
          <w:rFonts w:eastAsia="Calibri"/>
          <w:bCs/>
          <w:iCs/>
          <w:szCs w:val="24"/>
        </w:rPr>
      </w:pPr>
      <w:r>
        <w:rPr>
          <w:rFonts w:eastAsia="Calibri"/>
          <w:bCs/>
          <w:iCs/>
          <w:szCs w:val="24"/>
        </w:rPr>
        <w:lastRenderedPageBreak/>
        <w:t>Tikslas 2. Kurti sąlygas ir palaikyti mokymosi kultūros įsitvirtinimą gyvenime.</w:t>
      </w:r>
    </w:p>
    <w:p w14:paraId="37757BAB" w14:textId="77777777" w:rsidR="006F0F61" w:rsidRPr="00AA3F17" w:rsidRDefault="006F0F61" w:rsidP="006F0F61">
      <w:pPr>
        <w:ind w:firstLine="709"/>
        <w:jc w:val="both"/>
        <w:rPr>
          <w:rFonts w:eastAsia="Calibri"/>
          <w:bCs/>
          <w:iCs/>
          <w:szCs w:val="24"/>
        </w:rPr>
      </w:pPr>
      <w:r>
        <w:rPr>
          <w:rFonts w:eastAsia="Calibri"/>
          <w:bCs/>
          <w:iCs/>
          <w:szCs w:val="24"/>
        </w:rPr>
        <w:t>Progimnazijos ugdymo plane numatyta galimybė organizuoti integruotas pamokas, integruoti įvairias programas ir kitas netradicines veiklas, kurios padeda siekti išsikeltų ugdymo tikslų. Integruotos pamokos ir programos mokytojų fiksuojamos ilgalaikiuose dalykų planuose. Pamokos aspekto „Mokymosi patirtys“ apibendrintas vertinimas: labai gerai – vertinta 10,81 proc., gerai – 43,24 proc., patenkinamai – 45,95 proc. stebėtų pamokų; vertinimo vidurkis ‒ 2,65. Aspektas „Ugdymo(</w:t>
      </w:r>
      <w:proofErr w:type="spellStart"/>
      <w:r>
        <w:rPr>
          <w:rFonts w:eastAsia="Calibri"/>
          <w:bCs/>
          <w:iCs/>
          <w:szCs w:val="24"/>
        </w:rPr>
        <w:t>si</w:t>
      </w:r>
      <w:proofErr w:type="spellEnd"/>
      <w:r>
        <w:rPr>
          <w:rFonts w:eastAsia="Calibri"/>
          <w:bCs/>
          <w:iCs/>
          <w:szCs w:val="24"/>
        </w:rPr>
        <w:t xml:space="preserve">) integralumas“ kaip stiprus pamokos aspektas išskirtas tik 5 pamokose kaip mokomosios medžiagos siejimas su kitais mokomaisiais dalykais, rečiau su gyvenimiška mokinių patirtimi. Stebėtų pamokų kaip stiprusis veiklos aspektas „Įvairovė“ įvardintas 22 pamokose (59,46 proc.). </w:t>
      </w:r>
      <w:r w:rsidRPr="00AA3F17">
        <w:rPr>
          <w:rFonts w:eastAsia="Calibri"/>
          <w:bCs/>
          <w:iCs/>
          <w:szCs w:val="24"/>
        </w:rPr>
        <w:t>Mokiniams sudaryta galimybė išbandyti įvairias užduotis, prasmingas naujų žinių perteikimo ryšys su gyvenimu, turimomis žiniomis. Įgyvendinant projekto „Kokybės krepšelis“ veiklas</w:t>
      </w:r>
      <w:r w:rsidR="00A34FC8" w:rsidRPr="00AA3F17">
        <w:rPr>
          <w:rFonts w:eastAsia="Calibri"/>
          <w:bCs/>
          <w:iCs/>
          <w:szCs w:val="24"/>
        </w:rPr>
        <w:t>,</w:t>
      </w:r>
      <w:r w:rsidRPr="00AA3F17">
        <w:rPr>
          <w:rFonts w:eastAsia="Calibri"/>
          <w:bCs/>
          <w:iCs/>
          <w:szCs w:val="24"/>
        </w:rPr>
        <w:t xml:space="preserve"> organizuota 10 edukacinių išvykų mokiniams: į Nacionalinio muziejaus Lietuvos Didžiosios Kunigaikštystės valdovų rūmus, Taurų nuotykių parką ir Tauragės krašto muziejų „Santaka“, </w:t>
      </w:r>
      <w:proofErr w:type="spellStart"/>
      <w:r w:rsidRPr="00AA3F17">
        <w:rPr>
          <w:rFonts w:eastAsia="Calibri"/>
          <w:bCs/>
          <w:iCs/>
          <w:szCs w:val="24"/>
        </w:rPr>
        <w:t>Norkaičių</w:t>
      </w:r>
      <w:proofErr w:type="spellEnd"/>
      <w:r w:rsidRPr="00AA3F17">
        <w:rPr>
          <w:rFonts w:eastAsia="Calibri"/>
          <w:bCs/>
          <w:iCs/>
          <w:szCs w:val="24"/>
        </w:rPr>
        <w:t xml:space="preserve"> tradicinių amatų ir etnokultūros centrą, Gelgaudiškio dvarą, Mažosios Lietuvos Jurbarko krašto kultūros centro Smalininkų skyrių, Sudargo piliakalnių kompleksą, Kauno II fortą. Bendradarbiavimas vyksta su Jurbarko „Ąžuoliuko“ mokykla, Jurbarko vaikų lopšeliu-darželis „Nykštukas“, Jurbarko r. Jurbarkų darželiu-mokykla, Jurbarko r. savivaldybės viešąja biblioteka, Jurbarko kultūros centru, Jurbarko sporto centru, Jurbarko švietimo centru, Jurbarko krašto muziejumi, Jurbarko Antano Sodeikos meno mokykla. Mokiniai ir mokytojai turi galimybę dalintis patirtimi, dalyvauti edukacijose, mokytis kitose erdvėse. Bendradarbiau</w:t>
      </w:r>
      <w:r w:rsidR="00A34FC8" w:rsidRPr="00AA3F17">
        <w:rPr>
          <w:rFonts w:eastAsia="Calibri"/>
          <w:bCs/>
          <w:iCs/>
          <w:szCs w:val="24"/>
        </w:rPr>
        <w:t>dama</w:t>
      </w:r>
      <w:r w:rsidRPr="00AA3F17">
        <w:rPr>
          <w:rFonts w:eastAsia="Calibri"/>
          <w:bCs/>
          <w:iCs/>
          <w:szCs w:val="24"/>
        </w:rPr>
        <w:t xml:space="preserve"> su Pagėgių savivaldybės Martyno Jankaus muziejumi</w:t>
      </w:r>
      <w:r w:rsidR="00A34FC8" w:rsidRPr="00AA3F17">
        <w:rPr>
          <w:rFonts w:eastAsia="Calibri"/>
          <w:bCs/>
          <w:iCs/>
          <w:szCs w:val="24"/>
        </w:rPr>
        <w:t>,</w:t>
      </w:r>
      <w:r w:rsidRPr="00AA3F17">
        <w:rPr>
          <w:rFonts w:eastAsia="Calibri"/>
          <w:bCs/>
          <w:iCs/>
          <w:szCs w:val="24"/>
        </w:rPr>
        <w:t xml:space="preserve"> 6, 7 klasių mokinių komanda kartu su mokytojomis dalyvavo organizuotame Spaudos atgavimo, kalbos ir knygos dienai paminėti skirtame teatralizuotame edukaciniame renginyje „Knygnešių keliais – misija įmanoma!“ – sudarytos galimybės mokiniams stiprinti kūrybiškumo, pažinimo kompetencijas. Bendradarbiaujant su Jurbarko priešgaisrine gelbėjimo tarnyba, organizuojami susitikimai su pareigūnais, kuriuose mokiniams išsamiai pristatoma priešgaisrinės gelbėjimo tarnybos veikla, reikalavimai, kaip reikia saugiai elgtis gaisro atveju, kur ir kaip prašyti ir išsikviesti pagalbą atsitikus nelaimei, mokoma teisingų veiksmų kilus gaisrui.  Jurbarko Antano Sodeikos meno mokykloje mokiniams vyksta edukacijos, kurių metu mokinai susipažįsta su įvairiais muzikos instrumentais, patys gali pabandyti groti. Gražia tradicija Progimnazijoje tapo renginys „Pavasario šventė“, kurioje mokiniai turi galimybę dalyvauti edukacijose Jurbarko kūrybinėse dirbtuvėlėse, Jurbarko krašto muziejuje, pradinių klasių mokiniams vedamos mokinių tėvų pamokėlės. Vyko XXII Žemaitijos ir Klaipėdos krašto tautinių instrumentų ansamblių ir orkestrų festivalio „Trimitatis“ koncertas, kuriame galėjo dalyvauti mokiniai. Progimnazijos veikla orientuota į nacionalinę ir rajono strategiją, tačiau stokoja kryptingumo. Progimnazijos įsitraukimas į projektą „Kokybės krepšelis“, pastangos modernizuoti ugdymo procesą, apsirūpinant moderniomis ugdymo(</w:t>
      </w:r>
      <w:proofErr w:type="spellStart"/>
      <w:r w:rsidRPr="00AA3F17">
        <w:rPr>
          <w:rFonts w:eastAsia="Calibri"/>
          <w:bCs/>
          <w:iCs/>
          <w:szCs w:val="24"/>
        </w:rPr>
        <w:t>si</w:t>
      </w:r>
      <w:proofErr w:type="spellEnd"/>
      <w:r w:rsidRPr="00AA3F17">
        <w:rPr>
          <w:rFonts w:eastAsia="Calibri"/>
          <w:bCs/>
          <w:iCs/>
          <w:szCs w:val="24"/>
        </w:rPr>
        <w:t>) priemonėmis, į kolegialų bendradarbiavimą ir lyderystę orientuoti pedagogų mokymai orientuojami į visos Progimnazijos bendruomenės narių poreikius ir ugdymo kokybę. Pedagogų kvalifikacijos tobulinimas skatina taikyti šiuolaikiškus mokymosi metodus, optimaliai panaudoti mokymo priemones, įgytas projekto „Kokybės krepšelis“ lėšomis. Progimnazijoje atnaujintos erdvės, kurios projekto „Kokybės krepšelis“ dėka suteikė mokiniams galimybes mokytis pagal jų gebėjimus.</w:t>
      </w:r>
    </w:p>
    <w:p w14:paraId="31162DC2" w14:textId="77777777" w:rsidR="006F0F61" w:rsidRPr="00AA3F17" w:rsidRDefault="006F0F61" w:rsidP="006F0F61">
      <w:pPr>
        <w:rPr>
          <w:rFonts w:eastAsia="Calibri"/>
          <w:szCs w:val="24"/>
          <w:lang w:eastAsia="en-US"/>
        </w:rPr>
      </w:pPr>
    </w:p>
    <w:p w14:paraId="3AE62EC3" w14:textId="77777777" w:rsidR="006F0F61" w:rsidRPr="00AA3F17" w:rsidRDefault="006F0F61" w:rsidP="006F0F61"/>
    <w:tbl>
      <w:tblPr>
        <w:tblW w:w="0" w:type="auto"/>
        <w:tblLook w:val="04A0" w:firstRow="1" w:lastRow="0" w:firstColumn="1" w:lastColumn="0" w:noHBand="0" w:noVBand="1"/>
      </w:tblPr>
      <w:tblGrid>
        <w:gridCol w:w="4928"/>
        <w:gridCol w:w="4819"/>
        <w:gridCol w:w="1560"/>
        <w:gridCol w:w="2465"/>
      </w:tblGrid>
      <w:tr w:rsidR="001741A3" w:rsidRPr="00AA3F17" w14:paraId="0D42F24F" w14:textId="77777777" w:rsidTr="001741A3">
        <w:tc>
          <w:tcPr>
            <w:tcW w:w="4928" w:type="dxa"/>
            <w:shd w:val="clear" w:color="auto" w:fill="auto"/>
          </w:tcPr>
          <w:p w14:paraId="2B9CCD07" w14:textId="77777777" w:rsidR="006F0F61" w:rsidRPr="00AA3F17" w:rsidRDefault="006F0F61" w:rsidP="001741A3">
            <w:pPr>
              <w:jc w:val="both"/>
              <w:rPr>
                <w:rFonts w:eastAsia="Calibri"/>
                <w:szCs w:val="24"/>
              </w:rPr>
            </w:pPr>
            <w:r w:rsidRPr="00AA3F17">
              <w:rPr>
                <w:rFonts w:eastAsia="Calibri"/>
                <w:szCs w:val="24"/>
              </w:rPr>
              <w:t>Įstaigos vadovas</w:t>
            </w:r>
          </w:p>
        </w:tc>
        <w:tc>
          <w:tcPr>
            <w:tcW w:w="4819" w:type="dxa"/>
            <w:tcBorders>
              <w:top w:val="nil"/>
              <w:left w:val="nil"/>
              <w:bottom w:val="single" w:sz="4" w:space="0" w:color="auto"/>
              <w:right w:val="nil"/>
            </w:tcBorders>
            <w:shd w:val="clear" w:color="auto" w:fill="auto"/>
          </w:tcPr>
          <w:p w14:paraId="39724562" w14:textId="77777777" w:rsidR="006F0F61" w:rsidRPr="00AA3F17" w:rsidRDefault="006F0F61" w:rsidP="001741A3">
            <w:pPr>
              <w:jc w:val="both"/>
              <w:rPr>
                <w:rFonts w:eastAsia="Calibri"/>
                <w:szCs w:val="24"/>
              </w:rPr>
            </w:pPr>
          </w:p>
        </w:tc>
        <w:tc>
          <w:tcPr>
            <w:tcW w:w="1560" w:type="dxa"/>
            <w:shd w:val="clear" w:color="auto" w:fill="auto"/>
          </w:tcPr>
          <w:p w14:paraId="6FDC9126" w14:textId="77777777" w:rsidR="006F0F61" w:rsidRPr="00AA3F17" w:rsidRDefault="006F0F61" w:rsidP="001741A3">
            <w:pPr>
              <w:jc w:val="both"/>
              <w:rPr>
                <w:rFonts w:eastAsia="Calibri"/>
                <w:szCs w:val="24"/>
              </w:rPr>
            </w:pPr>
          </w:p>
        </w:tc>
        <w:tc>
          <w:tcPr>
            <w:tcW w:w="2465" w:type="dxa"/>
            <w:tcBorders>
              <w:top w:val="nil"/>
              <w:left w:val="nil"/>
              <w:bottom w:val="single" w:sz="4" w:space="0" w:color="auto"/>
              <w:right w:val="nil"/>
            </w:tcBorders>
            <w:shd w:val="clear" w:color="auto" w:fill="auto"/>
          </w:tcPr>
          <w:p w14:paraId="7BB942C1" w14:textId="77777777" w:rsidR="006F0F61" w:rsidRPr="00AA3F17" w:rsidRDefault="006F0F61" w:rsidP="001741A3">
            <w:pPr>
              <w:jc w:val="both"/>
              <w:rPr>
                <w:rFonts w:eastAsia="Calibri"/>
                <w:szCs w:val="24"/>
              </w:rPr>
            </w:pPr>
            <w:r w:rsidRPr="00AA3F17">
              <w:rPr>
                <w:rFonts w:eastAsia="Calibri"/>
                <w:szCs w:val="24"/>
              </w:rPr>
              <w:t>Viljamas Bakšys</w:t>
            </w:r>
          </w:p>
        </w:tc>
      </w:tr>
    </w:tbl>
    <w:p w14:paraId="5C566E7B" w14:textId="77777777" w:rsidR="00D7382F" w:rsidRPr="00AA3F17" w:rsidRDefault="00D7382F" w:rsidP="006F0F61">
      <w:pPr>
        <w:sectPr w:rsidR="00D7382F" w:rsidRPr="00AA3F17" w:rsidSect="00DC0474">
          <w:pgSz w:w="16838" w:h="11906" w:orient="landscape" w:code="9"/>
          <w:pgMar w:top="1701" w:right="1134" w:bottom="680" w:left="1134" w:header="1134" w:footer="726" w:gutter="0"/>
          <w:cols w:space="1296"/>
          <w:titlePg/>
          <w:docGrid w:linePitch="360"/>
        </w:sectPr>
      </w:pPr>
    </w:p>
    <w:p w14:paraId="7AD93DD8" w14:textId="77777777" w:rsidR="002E1F99" w:rsidRPr="00AA3F17" w:rsidRDefault="002E1F99" w:rsidP="002E1F99">
      <w:pPr>
        <w:pStyle w:val="Pavadinimas"/>
        <w:jc w:val="left"/>
        <w:rPr>
          <w:b w:val="0"/>
          <w:lang w:val="lt-LT"/>
        </w:rPr>
      </w:pPr>
    </w:p>
    <w:p w14:paraId="7B268D83" w14:textId="77777777" w:rsidR="00B668F0" w:rsidRPr="00F41211" w:rsidRDefault="00B668F0" w:rsidP="00B668F0">
      <w:pPr>
        <w:pStyle w:val="Pavadinimas"/>
        <w:pBdr>
          <w:bottom w:val="single" w:sz="12" w:space="1" w:color="auto"/>
        </w:pBdr>
        <w:rPr>
          <w:lang w:val="lt-LT"/>
        </w:rPr>
      </w:pPr>
      <w:r w:rsidRPr="00F41211">
        <w:rPr>
          <w:lang w:val="lt-LT"/>
        </w:rPr>
        <w:t>JURBARKO RAJONO SAVIVALDYBĖS ADMINISTRACIJOS</w:t>
      </w:r>
    </w:p>
    <w:p w14:paraId="110FD926" w14:textId="77777777" w:rsidR="00B668F0" w:rsidRPr="00F41211" w:rsidRDefault="008F0F3E" w:rsidP="00B668F0">
      <w:pPr>
        <w:pStyle w:val="Pavadinimas"/>
        <w:pBdr>
          <w:bottom w:val="single" w:sz="12" w:space="1" w:color="auto"/>
        </w:pBdr>
        <w:rPr>
          <w:lang w:val="lt-LT"/>
        </w:rPr>
      </w:pPr>
      <w:bookmarkStart w:id="5" w:name="_Hlk163634171"/>
      <w:r w:rsidRPr="00F41211">
        <w:rPr>
          <w:lang w:val="lt-LT"/>
        </w:rPr>
        <w:t>ŠVIETIMO, KULTŪROS IR SPORTO SKYRIUS</w:t>
      </w:r>
      <w:bookmarkEnd w:id="5"/>
    </w:p>
    <w:p w14:paraId="280A3257" w14:textId="77777777" w:rsidR="002E1F99" w:rsidRDefault="002E1F99" w:rsidP="002E1F99">
      <w:pPr>
        <w:pStyle w:val="Paantrat"/>
      </w:pPr>
    </w:p>
    <w:p w14:paraId="2A39FB8A" w14:textId="77777777" w:rsidR="002E1F99" w:rsidRDefault="002E1F99" w:rsidP="002E1F99">
      <w:pPr>
        <w:pStyle w:val="Paantrat"/>
      </w:pPr>
      <w:r>
        <w:t>AIŠKINAMASIS RAŠTAS</w:t>
      </w:r>
    </w:p>
    <w:p w14:paraId="0D739F00"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8758A4" w:rsidRPr="00AE61D9">
        <w:rPr>
          <w:b/>
        </w:rPr>
        <w:fldChar w:fldCharType="begin">
          <w:ffData>
            <w:name w:val="DOC_DATA"/>
            <w:enabled/>
            <w:calcOnExit w:val="0"/>
            <w:textInput>
              <w:default w:val="{$DOC_DATA}"/>
            </w:textInput>
          </w:ffData>
        </w:fldChar>
      </w:r>
      <w:r w:rsidR="008C34F7" w:rsidRPr="005231DA">
        <w:rPr>
          <w:b/>
        </w:rPr>
        <w:instrText xml:space="preserve"> FORMTEXT </w:instrText>
      </w:r>
      <w:r w:rsidR="008758A4" w:rsidRPr="00AE61D9">
        <w:rPr>
          <w:b/>
        </w:rPr>
      </w:r>
      <w:r w:rsidR="008758A4" w:rsidRPr="00AE61D9">
        <w:rPr>
          <w:b/>
        </w:rPr>
        <w:fldChar w:fldCharType="separate"/>
      </w:r>
      <w:r w:rsidR="008C34F7" w:rsidRPr="005231DA">
        <w:rPr>
          <w:b/>
          <w:noProof/>
        </w:rPr>
        <w:t xml:space="preserve">DĖL </w:t>
      </w:r>
      <w:r w:rsidR="008C34F7">
        <w:rPr>
          <w:b/>
          <w:noProof/>
        </w:rPr>
        <w:t xml:space="preserve">2023 METŲ </w:t>
      </w:r>
      <w:r w:rsidR="008C34F7" w:rsidRPr="005231DA">
        <w:rPr>
          <w:b/>
          <w:noProof/>
        </w:rPr>
        <w:t>JURB</w:t>
      </w:r>
      <w:r w:rsidR="008C34F7">
        <w:rPr>
          <w:b/>
          <w:noProof/>
        </w:rPr>
        <w:t>ARKO VYTAUTO DIDŽIOJO PROGIMNAZIJOS</w:t>
      </w:r>
      <w:r w:rsidR="008C34F7" w:rsidRPr="005231DA">
        <w:rPr>
          <w:b/>
          <w:noProof/>
        </w:rPr>
        <w:t xml:space="preserve"> </w:t>
      </w:r>
      <w:r w:rsidR="008C34F7">
        <w:rPr>
          <w:b/>
          <w:noProof/>
        </w:rPr>
        <w:t>METINIŲ ATASKAITŲ RINKINIO PATVIRTINIMO</w:t>
      </w:r>
      <w:r w:rsidR="008758A4" w:rsidRPr="00AE61D9">
        <w:rPr>
          <w:b/>
        </w:rPr>
        <w:fldChar w:fldCharType="end"/>
      </w:r>
      <w:r w:rsidRPr="00FD0852">
        <w:rPr>
          <w:b/>
          <w:szCs w:val="26"/>
        </w:rPr>
        <w:t>“</w:t>
      </w:r>
      <w:r w:rsidR="00D83E1B">
        <w:rPr>
          <w:b/>
          <w:szCs w:val="26"/>
        </w:rPr>
        <w:t xml:space="preserve"> </w:t>
      </w:r>
      <w:r>
        <w:rPr>
          <w:b/>
          <w:bCs/>
          <w:caps/>
        </w:rPr>
        <w:t>projekto</w:t>
      </w:r>
    </w:p>
    <w:p w14:paraId="27A76984" w14:textId="77777777" w:rsidR="002E1F99" w:rsidRDefault="002E1F99" w:rsidP="002E1F99">
      <w:pPr>
        <w:tabs>
          <w:tab w:val="left" w:pos="567"/>
        </w:tabs>
        <w:jc w:val="center"/>
      </w:pPr>
    </w:p>
    <w:p w14:paraId="5C87AE5D" w14:textId="77777777" w:rsidR="00001758" w:rsidRDefault="008758A4" w:rsidP="002E1F99">
      <w:pPr>
        <w:tabs>
          <w:tab w:val="left" w:pos="0"/>
        </w:tabs>
        <w:jc w:val="center"/>
      </w:pPr>
      <w:r>
        <w:fldChar w:fldCharType="begin">
          <w:ffData>
            <w:name w:val="NOW_WORD_DATE"/>
            <w:enabled/>
            <w:calcOnExit w:val="0"/>
            <w:textInput>
              <w:default w:val="{$NOW_WORD_DATE}"/>
            </w:textInput>
          </w:ffData>
        </w:fldChar>
      </w:r>
      <w:r w:rsidR="00D7382F">
        <w:instrText xml:space="preserve"> FORMTEXT </w:instrText>
      </w:r>
      <w:r>
        <w:fldChar w:fldCharType="separate"/>
      </w:r>
      <w:r w:rsidR="00D7382F">
        <w:rPr>
          <w:noProof/>
        </w:rPr>
        <w:t>2024 m. gegužės 10 d.</w:t>
      </w:r>
      <w:r>
        <w:fldChar w:fldCharType="end"/>
      </w:r>
    </w:p>
    <w:p w14:paraId="5C391594" w14:textId="77777777" w:rsidR="00D7382F" w:rsidRPr="00D7382F" w:rsidRDefault="002E1F99" w:rsidP="00D7382F">
      <w:pPr>
        <w:tabs>
          <w:tab w:val="left" w:pos="0"/>
        </w:tabs>
        <w:jc w:val="center"/>
      </w:pPr>
      <w:r>
        <w:t>Jurbarkas</w:t>
      </w:r>
    </w:p>
    <w:tbl>
      <w:tblPr>
        <w:tblW w:w="0" w:type="auto"/>
        <w:tblLook w:val="0000" w:firstRow="0" w:lastRow="0" w:firstColumn="0" w:lastColumn="0" w:noHBand="0" w:noVBand="0"/>
      </w:tblPr>
      <w:tblGrid>
        <w:gridCol w:w="9525"/>
      </w:tblGrid>
      <w:tr w:rsidR="00D7382F" w:rsidRPr="00D7382F" w14:paraId="26858AD1" w14:textId="77777777" w:rsidTr="00592125">
        <w:tc>
          <w:tcPr>
            <w:tcW w:w="9741" w:type="dxa"/>
          </w:tcPr>
          <w:p w14:paraId="14FDA8E8" w14:textId="77777777" w:rsidR="00D7382F" w:rsidRPr="00D7382F" w:rsidRDefault="00D7382F" w:rsidP="00D7382F">
            <w:pPr>
              <w:tabs>
                <w:tab w:val="left" w:pos="0"/>
              </w:tabs>
              <w:jc w:val="both"/>
              <w:rPr>
                <w:b/>
                <w:bCs/>
                <w:i/>
                <w:iCs/>
                <w:szCs w:val="24"/>
              </w:rPr>
            </w:pPr>
            <w:r w:rsidRPr="00D7382F">
              <w:rPr>
                <w:b/>
                <w:bCs/>
                <w:i/>
                <w:iCs/>
                <w:szCs w:val="24"/>
              </w:rPr>
              <w:t>1. Parengto projekto tikslai ir uždaviniai.</w:t>
            </w:r>
          </w:p>
          <w:p w14:paraId="62459376" w14:textId="77777777" w:rsidR="00D7382F" w:rsidRPr="00D7382F" w:rsidRDefault="00D7382F" w:rsidP="00D7382F">
            <w:pPr>
              <w:tabs>
                <w:tab w:val="left" w:pos="0"/>
              </w:tabs>
              <w:jc w:val="both"/>
              <w:rPr>
                <w:szCs w:val="24"/>
              </w:rPr>
            </w:pPr>
            <w:r w:rsidRPr="00D7382F">
              <w:rPr>
                <w:szCs w:val="24"/>
              </w:rPr>
              <w:t xml:space="preserve">Patvirtinti </w:t>
            </w:r>
            <w:r w:rsidR="00B36446">
              <w:rPr>
                <w:szCs w:val="24"/>
              </w:rPr>
              <w:t xml:space="preserve">Jurbarko </w:t>
            </w:r>
            <w:r w:rsidR="008C34F7">
              <w:rPr>
                <w:szCs w:val="24"/>
              </w:rPr>
              <w:t xml:space="preserve">Vytauto Didžiojo </w:t>
            </w:r>
            <w:r w:rsidR="00B36446">
              <w:rPr>
                <w:szCs w:val="24"/>
              </w:rPr>
              <w:t xml:space="preserve">progimnazijos </w:t>
            </w:r>
            <w:r w:rsidRPr="00D7382F">
              <w:rPr>
                <w:szCs w:val="24"/>
              </w:rPr>
              <w:t xml:space="preserve">2023 metų Jurbarko </w:t>
            </w:r>
            <w:r>
              <w:rPr>
                <w:szCs w:val="24"/>
              </w:rPr>
              <w:t xml:space="preserve">metinių </w:t>
            </w:r>
            <w:r w:rsidRPr="00D7382F">
              <w:rPr>
                <w:szCs w:val="24"/>
              </w:rPr>
              <w:t>ataskaitų rinkinį:</w:t>
            </w:r>
          </w:p>
          <w:p w14:paraId="22370523" w14:textId="77777777" w:rsidR="00D7382F" w:rsidRPr="00D7382F" w:rsidRDefault="00D7382F" w:rsidP="00D7382F">
            <w:pPr>
              <w:tabs>
                <w:tab w:val="left" w:pos="0"/>
              </w:tabs>
              <w:jc w:val="both"/>
              <w:rPr>
                <w:szCs w:val="24"/>
              </w:rPr>
            </w:pPr>
            <w:r w:rsidRPr="00D7382F">
              <w:rPr>
                <w:szCs w:val="24"/>
              </w:rPr>
              <w:t xml:space="preserve">1. Jurbarko </w:t>
            </w:r>
            <w:r w:rsidR="008C34F7">
              <w:rPr>
                <w:szCs w:val="24"/>
              </w:rPr>
              <w:t xml:space="preserve">Vytauto Didžiojo </w:t>
            </w:r>
            <w:r w:rsidR="00B36446">
              <w:rPr>
                <w:szCs w:val="24"/>
              </w:rPr>
              <w:t xml:space="preserve">progimnazijos </w:t>
            </w:r>
            <w:r w:rsidRPr="00D7382F">
              <w:rPr>
                <w:szCs w:val="24"/>
              </w:rPr>
              <w:t>2023 metų veiklos ataskaitą;</w:t>
            </w:r>
          </w:p>
          <w:p w14:paraId="33CCDF71" w14:textId="77777777" w:rsidR="00D7382F" w:rsidRPr="00D7382F" w:rsidRDefault="00D7382F" w:rsidP="00D7382F">
            <w:pPr>
              <w:tabs>
                <w:tab w:val="left" w:pos="0"/>
              </w:tabs>
              <w:jc w:val="both"/>
              <w:rPr>
                <w:szCs w:val="24"/>
              </w:rPr>
            </w:pPr>
            <w:r w:rsidRPr="00D7382F">
              <w:rPr>
                <w:szCs w:val="24"/>
              </w:rPr>
              <w:t xml:space="preserve">2. Jurbarko </w:t>
            </w:r>
            <w:r w:rsidR="008C34F7">
              <w:rPr>
                <w:szCs w:val="24"/>
              </w:rPr>
              <w:t xml:space="preserve">Vytauto Didžiojo </w:t>
            </w:r>
            <w:r w:rsidR="00B36446">
              <w:rPr>
                <w:szCs w:val="24"/>
              </w:rPr>
              <w:t xml:space="preserve">progimnazijos </w:t>
            </w:r>
            <w:r w:rsidRPr="00D7382F">
              <w:rPr>
                <w:szCs w:val="24"/>
              </w:rPr>
              <w:t>2023 metų finansinių ataskaitų rinkinį;</w:t>
            </w:r>
          </w:p>
          <w:p w14:paraId="55A4AFB7" w14:textId="77777777" w:rsidR="00D7382F" w:rsidRPr="00D7382F" w:rsidRDefault="00D7382F" w:rsidP="00D7382F">
            <w:pPr>
              <w:tabs>
                <w:tab w:val="left" w:pos="0"/>
              </w:tabs>
              <w:jc w:val="both"/>
              <w:rPr>
                <w:szCs w:val="24"/>
              </w:rPr>
            </w:pPr>
            <w:r w:rsidRPr="00D7382F">
              <w:rPr>
                <w:szCs w:val="24"/>
              </w:rPr>
              <w:t xml:space="preserve">3. Jurbarko </w:t>
            </w:r>
            <w:r w:rsidR="008C34F7">
              <w:rPr>
                <w:szCs w:val="24"/>
              </w:rPr>
              <w:t xml:space="preserve">Vytauto Didžiojo progimnazijos </w:t>
            </w:r>
            <w:r w:rsidRPr="00D7382F">
              <w:rPr>
                <w:szCs w:val="24"/>
              </w:rPr>
              <w:t>2023 metų biudžeto vykdymo ataskaitų rinkinį.</w:t>
            </w:r>
          </w:p>
          <w:p w14:paraId="29F5EC21" w14:textId="77777777" w:rsidR="00D7382F" w:rsidRPr="00D7382F" w:rsidRDefault="00D7382F" w:rsidP="00D7382F">
            <w:pPr>
              <w:tabs>
                <w:tab w:val="left" w:pos="0"/>
              </w:tabs>
              <w:jc w:val="both"/>
              <w:rPr>
                <w:szCs w:val="24"/>
              </w:rPr>
            </w:pPr>
            <w:r w:rsidRPr="00D7382F">
              <w:rPr>
                <w:szCs w:val="24"/>
              </w:rPr>
              <w:t xml:space="preserve">Apibendrinti Jurbarko </w:t>
            </w:r>
            <w:r w:rsidR="008C34F7">
              <w:rPr>
                <w:szCs w:val="24"/>
              </w:rPr>
              <w:t xml:space="preserve">Vytauto Didžiojo progimnazijos </w:t>
            </w:r>
            <w:r w:rsidRPr="00D7382F">
              <w:rPr>
                <w:szCs w:val="24"/>
              </w:rPr>
              <w:t>2023 metais nuveiktus darbus.</w:t>
            </w:r>
          </w:p>
          <w:p w14:paraId="5A707000" w14:textId="77777777" w:rsidR="00D7382F" w:rsidRPr="00D7382F" w:rsidRDefault="00D7382F" w:rsidP="00D7382F">
            <w:pPr>
              <w:tabs>
                <w:tab w:val="left" w:pos="0"/>
              </w:tabs>
              <w:jc w:val="both"/>
              <w:rPr>
                <w:szCs w:val="24"/>
              </w:rPr>
            </w:pPr>
            <w:r w:rsidRPr="00D7382F">
              <w:rPr>
                <w:szCs w:val="24"/>
              </w:rPr>
              <w:t>Palyginti šios įstaigos veiklos pokytį su 2022 metų veiklos pasiekimais bei kitais rodikliais.</w:t>
            </w:r>
          </w:p>
        </w:tc>
      </w:tr>
      <w:tr w:rsidR="00D7382F" w:rsidRPr="00D7382F" w14:paraId="4F6DE243" w14:textId="77777777" w:rsidTr="00592125">
        <w:tc>
          <w:tcPr>
            <w:tcW w:w="9741" w:type="dxa"/>
          </w:tcPr>
          <w:p w14:paraId="6C2B2D18" w14:textId="77777777" w:rsidR="00D7382F" w:rsidRPr="00D7382F" w:rsidRDefault="00D7382F" w:rsidP="00D7382F">
            <w:pPr>
              <w:tabs>
                <w:tab w:val="left" w:pos="0"/>
              </w:tabs>
              <w:jc w:val="both"/>
              <w:rPr>
                <w:b/>
                <w:bCs/>
                <w:szCs w:val="24"/>
              </w:rPr>
            </w:pPr>
            <w:r w:rsidRPr="00D7382F">
              <w:rPr>
                <w:b/>
                <w:bCs/>
                <w:i/>
                <w:iCs/>
                <w:szCs w:val="24"/>
              </w:rPr>
              <w:t>2. Kaip šiuo metu yra sureguliuoti projekte aptarti klausimai.</w:t>
            </w:r>
          </w:p>
        </w:tc>
      </w:tr>
      <w:tr w:rsidR="00D7382F" w:rsidRPr="00D7382F" w14:paraId="726007C3" w14:textId="77777777" w:rsidTr="00592125">
        <w:tc>
          <w:tcPr>
            <w:tcW w:w="9741" w:type="dxa"/>
          </w:tcPr>
          <w:p w14:paraId="458DF796" w14:textId="77777777" w:rsidR="00D7382F" w:rsidRPr="007F4756" w:rsidRDefault="00D7382F" w:rsidP="00D7382F">
            <w:pPr>
              <w:tabs>
                <w:tab w:val="left" w:pos="0"/>
              </w:tabs>
              <w:jc w:val="both"/>
              <w:rPr>
                <w:szCs w:val="24"/>
              </w:rPr>
            </w:pPr>
            <w:r w:rsidRPr="007F4756">
              <w:rPr>
                <w:szCs w:val="24"/>
              </w:rPr>
              <w:t>Lietuvos Respublikos vietos savivaldos įstatymo 15 straipsnio 3 dalies 1 punkte nustatyta</w:t>
            </w:r>
            <w:r w:rsidR="009D4A3E" w:rsidRPr="007F4756">
              <w:rPr>
                <w:szCs w:val="24"/>
              </w:rPr>
              <w:t>,</w:t>
            </w:r>
            <w:r w:rsidRPr="007F4756">
              <w:rPr>
                <w:szCs w:val="24"/>
              </w:rPr>
              <w:t xml:space="preserve"> kad paprastoji Savivaldybės tarybos kompetencija – savivaldybės biudžetinių įstaigų metinių ataskaitų rinkinių tvirtinimas. Įstaigos ataskaita Savivaldybės tarybai buvo teikta ir ankstesniais metais.</w:t>
            </w:r>
          </w:p>
        </w:tc>
      </w:tr>
      <w:tr w:rsidR="00D7382F" w:rsidRPr="00D7382F" w14:paraId="263590BB" w14:textId="77777777" w:rsidTr="00592125">
        <w:tc>
          <w:tcPr>
            <w:tcW w:w="9741" w:type="dxa"/>
          </w:tcPr>
          <w:p w14:paraId="6916AE9C" w14:textId="77777777" w:rsidR="00D7382F" w:rsidRPr="007F4756" w:rsidRDefault="00D7382F" w:rsidP="00D7382F">
            <w:pPr>
              <w:tabs>
                <w:tab w:val="left" w:pos="0"/>
              </w:tabs>
              <w:jc w:val="both"/>
              <w:rPr>
                <w:b/>
                <w:bCs/>
                <w:i/>
                <w:iCs/>
                <w:szCs w:val="24"/>
              </w:rPr>
            </w:pPr>
            <w:r w:rsidRPr="007F4756">
              <w:rPr>
                <w:b/>
                <w:bCs/>
                <w:i/>
                <w:iCs/>
                <w:szCs w:val="24"/>
              </w:rPr>
              <w:t>3. Kokių pozityvių rezultatų laukiama.</w:t>
            </w:r>
          </w:p>
        </w:tc>
      </w:tr>
      <w:tr w:rsidR="00D7382F" w:rsidRPr="00D7382F" w14:paraId="04DD77B8" w14:textId="77777777" w:rsidTr="00592125">
        <w:tc>
          <w:tcPr>
            <w:tcW w:w="9741" w:type="dxa"/>
          </w:tcPr>
          <w:p w14:paraId="6FFE2BA6" w14:textId="77777777" w:rsidR="00D7382F" w:rsidRPr="007F4756" w:rsidRDefault="00D7382F" w:rsidP="008C34F7">
            <w:pPr>
              <w:tabs>
                <w:tab w:val="left" w:pos="0"/>
              </w:tabs>
              <w:jc w:val="both"/>
              <w:rPr>
                <w:szCs w:val="24"/>
              </w:rPr>
            </w:pPr>
            <w:r w:rsidRPr="007F4756">
              <w:rPr>
                <w:szCs w:val="24"/>
              </w:rPr>
              <w:t xml:space="preserve">Bus įgyvendinti teisės aktų reikalavimai, apibendrinta ir paviešinta informacija apie </w:t>
            </w:r>
            <w:r w:rsidR="008C34F7">
              <w:rPr>
                <w:szCs w:val="24"/>
              </w:rPr>
              <w:t xml:space="preserve">Jurbarko Vytauto Didžiojo progimnazijos </w:t>
            </w:r>
            <w:r w:rsidRPr="007F4756">
              <w:rPr>
                <w:szCs w:val="24"/>
              </w:rPr>
              <w:t>veiklą.</w:t>
            </w:r>
          </w:p>
        </w:tc>
      </w:tr>
      <w:tr w:rsidR="00D7382F" w:rsidRPr="00D7382F" w14:paraId="0E467F30" w14:textId="77777777" w:rsidTr="00592125">
        <w:tc>
          <w:tcPr>
            <w:tcW w:w="9741" w:type="dxa"/>
          </w:tcPr>
          <w:p w14:paraId="3F467D6C" w14:textId="77777777" w:rsidR="00D7382F" w:rsidRPr="00D7382F" w:rsidRDefault="00D7382F" w:rsidP="00D7382F">
            <w:pPr>
              <w:tabs>
                <w:tab w:val="left" w:pos="0"/>
              </w:tabs>
              <w:jc w:val="both"/>
              <w:rPr>
                <w:b/>
                <w:bCs/>
                <w:i/>
                <w:iCs/>
                <w:szCs w:val="24"/>
              </w:rPr>
            </w:pPr>
            <w:r w:rsidRPr="00D7382F">
              <w:rPr>
                <w:b/>
                <w:bCs/>
                <w:i/>
                <w:iCs/>
                <w:szCs w:val="24"/>
              </w:rPr>
              <w:t>4. Galimos neigiamos priimto projekto pasekmės ir kokių priemonių reikėtų imtis, kad tokių pasekmių būtų išvengta.</w:t>
            </w:r>
          </w:p>
        </w:tc>
      </w:tr>
      <w:tr w:rsidR="00D7382F" w:rsidRPr="00D7382F" w14:paraId="6AAB87A8" w14:textId="77777777" w:rsidTr="00592125">
        <w:tc>
          <w:tcPr>
            <w:tcW w:w="9741" w:type="dxa"/>
          </w:tcPr>
          <w:p w14:paraId="418A1DF1" w14:textId="77777777" w:rsidR="00D7382F" w:rsidRPr="00D7382F" w:rsidRDefault="00D7382F" w:rsidP="00D7382F">
            <w:pPr>
              <w:tabs>
                <w:tab w:val="left" w:pos="0"/>
              </w:tabs>
              <w:jc w:val="both"/>
              <w:rPr>
                <w:szCs w:val="24"/>
              </w:rPr>
            </w:pPr>
            <w:r w:rsidRPr="00D7382F">
              <w:rPr>
                <w:szCs w:val="24"/>
                <w:lang w:eastAsia="ar-SA"/>
              </w:rPr>
              <w:t>Nenumatoma</w:t>
            </w:r>
          </w:p>
        </w:tc>
      </w:tr>
      <w:tr w:rsidR="00D7382F" w:rsidRPr="00D7382F" w14:paraId="3B904EC9" w14:textId="77777777" w:rsidTr="00592125">
        <w:tc>
          <w:tcPr>
            <w:tcW w:w="9741" w:type="dxa"/>
          </w:tcPr>
          <w:p w14:paraId="51802174" w14:textId="77777777" w:rsidR="00D7382F" w:rsidRPr="00D7382F" w:rsidRDefault="00D7382F" w:rsidP="00D7382F">
            <w:pPr>
              <w:tabs>
                <w:tab w:val="left" w:pos="0"/>
              </w:tabs>
              <w:jc w:val="both"/>
              <w:rPr>
                <w:b/>
                <w:bCs/>
                <w:i/>
                <w:iCs/>
                <w:szCs w:val="24"/>
              </w:rPr>
            </w:pPr>
            <w:r w:rsidRPr="00D7382F">
              <w:rPr>
                <w:b/>
                <w:bCs/>
                <w:i/>
                <w:iCs/>
                <w:szCs w:val="24"/>
              </w:rPr>
              <w:t>5. Kokie šios srities aktai tebegalioja (pateikiamas aktų sąrašas) ir kokius galiojančius aktus būtina pakeisti ar panaikinti, priėmus teikiamą projektą.</w:t>
            </w:r>
          </w:p>
        </w:tc>
      </w:tr>
      <w:tr w:rsidR="00D7382F" w:rsidRPr="00D7382F" w14:paraId="5871F721" w14:textId="77777777" w:rsidTr="00592125">
        <w:tc>
          <w:tcPr>
            <w:tcW w:w="9741" w:type="dxa"/>
          </w:tcPr>
          <w:p w14:paraId="2A2B4139" w14:textId="77777777" w:rsidR="00D7382F" w:rsidRPr="00D7382F" w:rsidRDefault="00D7382F" w:rsidP="00D7382F">
            <w:pPr>
              <w:tabs>
                <w:tab w:val="left" w:pos="0"/>
              </w:tabs>
              <w:jc w:val="both"/>
              <w:rPr>
                <w:szCs w:val="24"/>
              </w:rPr>
            </w:pPr>
            <w:r w:rsidRPr="00D7382F">
              <w:rPr>
                <w:szCs w:val="24"/>
              </w:rPr>
              <w:t>-</w:t>
            </w:r>
          </w:p>
        </w:tc>
      </w:tr>
      <w:tr w:rsidR="00D7382F" w:rsidRPr="00D7382F" w14:paraId="2D911727" w14:textId="77777777" w:rsidTr="00592125">
        <w:tc>
          <w:tcPr>
            <w:tcW w:w="9741" w:type="dxa"/>
          </w:tcPr>
          <w:p w14:paraId="27229B82" w14:textId="77777777" w:rsidR="00D7382F" w:rsidRPr="00D7382F" w:rsidRDefault="00D7382F" w:rsidP="00D7382F">
            <w:pPr>
              <w:tabs>
                <w:tab w:val="left" w:pos="0"/>
              </w:tabs>
              <w:jc w:val="both"/>
              <w:rPr>
                <w:b/>
                <w:bCs/>
                <w:i/>
                <w:iCs/>
                <w:szCs w:val="24"/>
              </w:rPr>
            </w:pPr>
            <w:r w:rsidRPr="00D7382F">
              <w:rPr>
                <w:b/>
                <w:bCs/>
                <w:i/>
                <w:iCs/>
                <w:szCs w:val="24"/>
              </w:rPr>
              <w:t>6. Projekto rengimo metu gauti specialistų vertinimai ir išvados, ekonominiai apskaičiavimai (sąmatos), konkretūs finansavimo šaltiniai.</w:t>
            </w:r>
          </w:p>
          <w:p w14:paraId="75B4A0FE" w14:textId="77777777" w:rsidR="00D7382F" w:rsidRPr="00D7382F" w:rsidRDefault="00D7382F" w:rsidP="00D7382F">
            <w:pPr>
              <w:tabs>
                <w:tab w:val="left" w:pos="0"/>
              </w:tabs>
              <w:jc w:val="both"/>
              <w:rPr>
                <w:szCs w:val="24"/>
              </w:rPr>
            </w:pPr>
            <w:r w:rsidRPr="00D7382F">
              <w:rPr>
                <w:bCs/>
                <w:iCs/>
                <w:szCs w:val="24"/>
                <w:lang w:eastAsia="ar-SA"/>
              </w:rPr>
              <w:t>-</w:t>
            </w:r>
          </w:p>
        </w:tc>
      </w:tr>
      <w:tr w:rsidR="00D7382F" w:rsidRPr="00D7382F" w14:paraId="67F50356" w14:textId="77777777" w:rsidTr="00592125">
        <w:tc>
          <w:tcPr>
            <w:tcW w:w="9741" w:type="dxa"/>
          </w:tcPr>
          <w:p w14:paraId="3231F5C8" w14:textId="77777777" w:rsidR="00D7382F" w:rsidRPr="00D7382F" w:rsidRDefault="00D7382F" w:rsidP="00D7382F">
            <w:pPr>
              <w:tabs>
                <w:tab w:val="left" w:pos="0"/>
              </w:tabs>
              <w:jc w:val="both"/>
              <w:rPr>
                <w:b/>
                <w:i/>
                <w:szCs w:val="24"/>
              </w:rPr>
            </w:pPr>
            <w:r w:rsidRPr="00D7382F">
              <w:rPr>
                <w:b/>
                <w:i/>
                <w:szCs w:val="24"/>
              </w:rPr>
              <w:t>7. Ar reikalingas projekto antikorupcinis vertinimas</w:t>
            </w:r>
          </w:p>
          <w:p w14:paraId="41AEBF7D" w14:textId="77777777" w:rsidR="00D7382F" w:rsidRPr="00D7382F" w:rsidRDefault="00D7382F" w:rsidP="00D7382F">
            <w:pPr>
              <w:tabs>
                <w:tab w:val="left" w:pos="0"/>
              </w:tabs>
              <w:jc w:val="both"/>
              <w:rPr>
                <w:szCs w:val="24"/>
              </w:rPr>
            </w:pPr>
            <w:r w:rsidRPr="00D7382F">
              <w:rPr>
                <w:szCs w:val="24"/>
              </w:rPr>
              <w:t>Nereikalingas</w:t>
            </w:r>
          </w:p>
        </w:tc>
      </w:tr>
      <w:tr w:rsidR="00D7382F" w:rsidRPr="00D7382F" w14:paraId="08E7EEF2" w14:textId="77777777" w:rsidTr="00592125">
        <w:tc>
          <w:tcPr>
            <w:tcW w:w="9741" w:type="dxa"/>
          </w:tcPr>
          <w:p w14:paraId="3D8DEDC8" w14:textId="77777777" w:rsidR="00D7382F" w:rsidRPr="00D7382F" w:rsidRDefault="00D7382F" w:rsidP="00D7382F">
            <w:pPr>
              <w:tabs>
                <w:tab w:val="left" w:pos="0"/>
              </w:tabs>
              <w:jc w:val="both"/>
              <w:rPr>
                <w:b/>
                <w:i/>
                <w:szCs w:val="24"/>
              </w:rPr>
            </w:pPr>
            <w:r w:rsidRPr="00D7382F">
              <w:rPr>
                <w:b/>
                <w:i/>
                <w:szCs w:val="24"/>
              </w:rPr>
              <w:t>8. Projekto iniciatorius, autorius ar autorių grupė.</w:t>
            </w:r>
          </w:p>
        </w:tc>
      </w:tr>
      <w:tr w:rsidR="00D7382F" w:rsidRPr="00D7382F" w14:paraId="0C313D90" w14:textId="77777777" w:rsidTr="00592125">
        <w:tc>
          <w:tcPr>
            <w:tcW w:w="9741" w:type="dxa"/>
          </w:tcPr>
          <w:p w14:paraId="44C672DC" w14:textId="77777777" w:rsidR="00D7382F" w:rsidRPr="00D7382F" w:rsidRDefault="00D7382F" w:rsidP="00B36446">
            <w:pPr>
              <w:jc w:val="both"/>
              <w:rPr>
                <w:szCs w:val="24"/>
              </w:rPr>
            </w:pPr>
            <w:r w:rsidRPr="00D7382F">
              <w:rPr>
                <w:szCs w:val="24"/>
              </w:rPr>
              <w:t xml:space="preserve">Jurbarko </w:t>
            </w:r>
            <w:r w:rsidR="008C34F7">
              <w:rPr>
                <w:szCs w:val="24"/>
              </w:rPr>
              <w:t>Vytauto Didžiojo</w:t>
            </w:r>
            <w:r w:rsidR="00B36446">
              <w:rPr>
                <w:szCs w:val="24"/>
              </w:rPr>
              <w:t xml:space="preserve"> progimnazijos </w:t>
            </w:r>
            <w:r w:rsidR="008C34F7">
              <w:t>direktorius Viljamas Bakšys</w:t>
            </w:r>
            <w:r w:rsidRPr="00D7382F">
              <w:t xml:space="preserve">, </w:t>
            </w:r>
            <w:r w:rsidRPr="00D7382F">
              <w:rPr>
                <w:szCs w:val="24"/>
              </w:rPr>
              <w:t>Švietimo, kultūros ir sporto skyriaus vyriausioji specialistė Dalia Jaramavičienė</w:t>
            </w:r>
            <w:r w:rsidRPr="00D7382F">
              <w:t xml:space="preserve">                                                                                                                                                                                                                                                                          </w:t>
            </w:r>
          </w:p>
        </w:tc>
      </w:tr>
      <w:tr w:rsidR="00D7382F" w:rsidRPr="00D7382F" w14:paraId="3EB44347" w14:textId="77777777" w:rsidTr="00592125">
        <w:tc>
          <w:tcPr>
            <w:tcW w:w="9741" w:type="dxa"/>
          </w:tcPr>
          <w:p w14:paraId="58137668" w14:textId="77777777" w:rsidR="00D7382F" w:rsidRPr="00D7382F" w:rsidRDefault="00D7382F" w:rsidP="00D7382F">
            <w:pPr>
              <w:tabs>
                <w:tab w:val="left" w:pos="0"/>
              </w:tabs>
              <w:jc w:val="both"/>
              <w:rPr>
                <w:b/>
                <w:bCs/>
                <w:i/>
                <w:iCs/>
                <w:szCs w:val="24"/>
              </w:rPr>
            </w:pPr>
            <w:r w:rsidRPr="00D7382F">
              <w:rPr>
                <w:b/>
                <w:bCs/>
                <w:i/>
                <w:iCs/>
                <w:szCs w:val="24"/>
              </w:rPr>
              <w:t>9. Kiti, autorių nuomone, reikalingi pagrindimai ir paaiškinimai.</w:t>
            </w:r>
          </w:p>
          <w:p w14:paraId="7DB25D5A" w14:textId="77777777" w:rsidR="00D7382F" w:rsidRPr="00D7382F" w:rsidRDefault="00D7382F" w:rsidP="00D7382F">
            <w:pPr>
              <w:tabs>
                <w:tab w:val="left" w:pos="0"/>
              </w:tabs>
              <w:jc w:val="both"/>
              <w:rPr>
                <w:szCs w:val="24"/>
              </w:rPr>
            </w:pPr>
            <w:r w:rsidRPr="00D7382F">
              <w:rPr>
                <w:szCs w:val="24"/>
              </w:rPr>
              <w:t>-</w:t>
            </w:r>
          </w:p>
        </w:tc>
      </w:tr>
      <w:tr w:rsidR="00D7382F" w:rsidRPr="00D7382F" w14:paraId="39F3C24A" w14:textId="77777777" w:rsidTr="00592125">
        <w:tc>
          <w:tcPr>
            <w:tcW w:w="9741" w:type="dxa"/>
          </w:tcPr>
          <w:p w14:paraId="2485BEC1" w14:textId="77777777" w:rsidR="00D7382F" w:rsidRPr="00D7382F" w:rsidRDefault="00D7382F" w:rsidP="00D7382F">
            <w:pPr>
              <w:tabs>
                <w:tab w:val="left" w:pos="0"/>
              </w:tabs>
              <w:jc w:val="both"/>
              <w:rPr>
                <w:b/>
                <w:i/>
                <w:szCs w:val="24"/>
              </w:rPr>
            </w:pPr>
            <w:r w:rsidRPr="00D7382F">
              <w:rPr>
                <w:b/>
                <w:i/>
                <w:szCs w:val="24"/>
              </w:rPr>
              <w:t>10. Sprendimas įteikiamas (kam ir kiek egz.)</w:t>
            </w:r>
          </w:p>
        </w:tc>
      </w:tr>
      <w:tr w:rsidR="00D7382F" w:rsidRPr="00D7382F" w14:paraId="3163778F" w14:textId="77777777" w:rsidTr="00592125">
        <w:tc>
          <w:tcPr>
            <w:tcW w:w="9741" w:type="dxa"/>
          </w:tcPr>
          <w:p w14:paraId="577151FF" w14:textId="77777777" w:rsidR="00D7382F" w:rsidRPr="00D7382F" w:rsidRDefault="00D7382F" w:rsidP="008C34F7">
            <w:pPr>
              <w:tabs>
                <w:tab w:val="left" w:pos="0"/>
              </w:tabs>
              <w:jc w:val="both"/>
              <w:rPr>
                <w:b/>
                <w:i/>
                <w:szCs w:val="24"/>
              </w:rPr>
            </w:pPr>
            <w:r w:rsidRPr="00D7382F">
              <w:rPr>
                <w:szCs w:val="24"/>
              </w:rPr>
              <w:t>po 1 egz. į bylą, Švietimo, kultūros ir sporto skyriui – per DVS,</w:t>
            </w:r>
            <w:r w:rsidR="00B36446">
              <w:rPr>
                <w:szCs w:val="24"/>
              </w:rPr>
              <w:t xml:space="preserve"> Jurbarko </w:t>
            </w:r>
            <w:r w:rsidR="008C34F7">
              <w:rPr>
                <w:szCs w:val="24"/>
              </w:rPr>
              <w:t xml:space="preserve">Vytauto Didžiojo </w:t>
            </w:r>
            <w:r w:rsidR="00B36446">
              <w:rPr>
                <w:szCs w:val="24"/>
              </w:rPr>
              <w:t xml:space="preserve">progimnazijai </w:t>
            </w:r>
            <w:r w:rsidRPr="00D7382F">
              <w:rPr>
                <w:szCs w:val="24"/>
              </w:rPr>
              <w:t>– el. paštu</w:t>
            </w:r>
          </w:p>
        </w:tc>
      </w:tr>
    </w:tbl>
    <w:p w14:paraId="4FEE6D35" w14:textId="77777777" w:rsidR="00D7382F" w:rsidRPr="00D7382F" w:rsidRDefault="00D7382F" w:rsidP="00D7382F">
      <w:pPr>
        <w:tabs>
          <w:tab w:val="left" w:pos="567"/>
        </w:tabs>
        <w:rPr>
          <w:szCs w:val="24"/>
        </w:rPr>
      </w:pPr>
    </w:p>
    <w:p w14:paraId="08E0764E" w14:textId="77777777" w:rsidR="00D7382F" w:rsidRPr="00D7382F" w:rsidRDefault="00D7382F" w:rsidP="00D7382F">
      <w:pPr>
        <w:rPr>
          <w:szCs w:val="24"/>
        </w:rPr>
      </w:pPr>
      <w:r w:rsidRPr="00D7382F">
        <w:rPr>
          <w:szCs w:val="24"/>
        </w:rPr>
        <w:t>Parengė</w:t>
      </w:r>
    </w:p>
    <w:p w14:paraId="26273EF7" w14:textId="77777777" w:rsidR="00D7382F" w:rsidRPr="00D7382F" w:rsidRDefault="008758A4" w:rsidP="00D7382F">
      <w:pPr>
        <w:rPr>
          <w:szCs w:val="24"/>
          <w:lang w:eastAsia="de-DE"/>
        </w:rPr>
      </w:pPr>
      <w:r w:rsidRPr="00D7382F">
        <w:rPr>
          <w:szCs w:val="24"/>
          <w:lang w:eastAsia="de-DE"/>
        </w:rPr>
        <w:fldChar w:fldCharType="begin">
          <w:ffData>
            <w:name w:val="CREATOR_SHOWS"/>
            <w:enabled/>
            <w:calcOnExit w:val="0"/>
            <w:textInput>
              <w:default w:val="{$CREATOR_SHOWS}"/>
            </w:textInput>
          </w:ffData>
        </w:fldChar>
      </w:r>
      <w:r w:rsidR="00D7382F" w:rsidRPr="00D7382F">
        <w:rPr>
          <w:szCs w:val="24"/>
          <w:lang w:eastAsia="de-DE"/>
        </w:rPr>
        <w:instrText xml:space="preserve"> FORMTEXT </w:instrText>
      </w:r>
      <w:r w:rsidRPr="00D7382F">
        <w:rPr>
          <w:szCs w:val="24"/>
          <w:lang w:eastAsia="de-DE"/>
        </w:rPr>
      </w:r>
      <w:r w:rsidRPr="00D7382F">
        <w:rPr>
          <w:szCs w:val="24"/>
          <w:lang w:eastAsia="de-DE"/>
        </w:rPr>
        <w:fldChar w:fldCharType="separate"/>
      </w:r>
      <w:r w:rsidR="00D7382F" w:rsidRPr="00D7382F">
        <w:rPr>
          <w:noProof/>
          <w:szCs w:val="24"/>
          <w:lang w:eastAsia="de-DE"/>
        </w:rPr>
        <w:t>Dalia Jaramavičienė</w:t>
      </w:r>
      <w:r w:rsidRPr="00D7382F">
        <w:rPr>
          <w:szCs w:val="24"/>
          <w:lang w:eastAsia="de-DE"/>
        </w:rPr>
        <w:fldChar w:fldCharType="end"/>
      </w:r>
    </w:p>
    <w:p w14:paraId="4AA75F26" w14:textId="77777777" w:rsidR="00D7382F" w:rsidRPr="00D7382F" w:rsidRDefault="008758A4" w:rsidP="00D7382F">
      <w:r w:rsidRPr="00D7382F">
        <w:fldChar w:fldCharType="begin">
          <w:ffData>
            <w:name w:val="NOW_WORD_DATE"/>
            <w:enabled/>
            <w:calcOnExit w:val="0"/>
            <w:textInput>
              <w:default w:val="{$NOW_WORD_DATE}"/>
            </w:textInput>
          </w:ffData>
        </w:fldChar>
      </w:r>
      <w:r w:rsidR="00D7382F" w:rsidRPr="00D7382F">
        <w:instrText xml:space="preserve"> FORMTEXT </w:instrText>
      </w:r>
      <w:r w:rsidRPr="00D7382F">
        <w:fldChar w:fldCharType="separate"/>
      </w:r>
      <w:r w:rsidR="00D7382F" w:rsidRPr="00D7382F">
        <w:rPr>
          <w:noProof/>
        </w:rPr>
        <w:t>2024 m. gegužės 10 d.</w:t>
      </w:r>
      <w:r w:rsidRPr="00D7382F">
        <w:fldChar w:fldCharType="end"/>
      </w:r>
    </w:p>
    <w:p w14:paraId="11FA1158" w14:textId="77777777" w:rsidR="002E1F99" w:rsidRDefault="002E1F99" w:rsidP="002E1F99">
      <w:pPr>
        <w:tabs>
          <w:tab w:val="left" w:pos="0"/>
        </w:tabs>
        <w:jc w:val="center"/>
      </w:pPr>
    </w:p>
    <w:sectPr w:rsidR="002E1F99" w:rsidSect="00DC0474">
      <w:pgSz w:w="11906" w:h="16838" w:code="9"/>
      <w:pgMar w:top="1134" w:right="680" w:bottom="709"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FC420" w14:textId="77777777" w:rsidR="00DC0474" w:rsidRDefault="00DC0474">
      <w:r>
        <w:separator/>
      </w:r>
    </w:p>
  </w:endnote>
  <w:endnote w:type="continuationSeparator" w:id="0">
    <w:p w14:paraId="48DFDE9F" w14:textId="77777777" w:rsidR="00DC0474" w:rsidRDefault="00DC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C7AE6" w14:textId="77777777" w:rsidR="0050747C" w:rsidRDefault="005074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9E4D8" w14:textId="77777777" w:rsidR="0050747C" w:rsidRDefault="005074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93924" w14:textId="77777777" w:rsidR="0050747C" w:rsidRDefault="005074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E3D87" w14:textId="77777777" w:rsidR="00DC0474" w:rsidRDefault="00DC0474">
      <w:r>
        <w:separator/>
      </w:r>
    </w:p>
  </w:footnote>
  <w:footnote w:type="continuationSeparator" w:id="0">
    <w:p w14:paraId="3BDA3E39" w14:textId="77777777" w:rsidR="00DC0474" w:rsidRDefault="00DC0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8F241" w14:textId="77777777" w:rsidR="00FC1CD3" w:rsidRDefault="008758A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A1275D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8B7E7" w14:textId="77777777" w:rsidR="00FC1CD3" w:rsidRDefault="00FC1CD3">
    <w:pPr>
      <w:pStyle w:val="Antrats"/>
      <w:framePr w:wrap="around" w:vAnchor="text" w:hAnchor="margin" w:xAlign="center" w:y="1"/>
      <w:rPr>
        <w:rStyle w:val="Puslapionumeris"/>
      </w:rPr>
    </w:pPr>
  </w:p>
  <w:p w14:paraId="7113D36F"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E7C80" w14:textId="77777777" w:rsidR="0050747C" w:rsidRDefault="005074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F0049A0"/>
    <w:multiLevelType w:val="hybridMultilevel"/>
    <w:tmpl w:val="EF3C587A"/>
    <w:lvl w:ilvl="0" w:tplc="FFFFFFFF">
      <w:start w:val="1"/>
      <w:numFmt w:val="decimal"/>
      <w:lvlText w:val="%1."/>
      <w:lvlJc w:val="left"/>
      <w:pPr>
        <w:ind w:left="897" w:hanging="360"/>
      </w:pPr>
    </w:lvl>
    <w:lvl w:ilvl="1" w:tplc="FFFFFFFF">
      <w:start w:val="1"/>
      <w:numFmt w:val="lowerLetter"/>
      <w:lvlText w:val="%2."/>
      <w:lvlJc w:val="left"/>
      <w:pPr>
        <w:ind w:left="1617" w:hanging="360"/>
      </w:pPr>
    </w:lvl>
    <w:lvl w:ilvl="2" w:tplc="FFFFFFFF">
      <w:start w:val="1"/>
      <w:numFmt w:val="lowerRoman"/>
      <w:lvlText w:val="%3."/>
      <w:lvlJc w:val="right"/>
      <w:pPr>
        <w:ind w:left="2337" w:hanging="180"/>
      </w:pPr>
    </w:lvl>
    <w:lvl w:ilvl="3" w:tplc="FFFFFFFF">
      <w:start w:val="1"/>
      <w:numFmt w:val="decimal"/>
      <w:lvlText w:val="%4."/>
      <w:lvlJc w:val="left"/>
      <w:pPr>
        <w:ind w:left="3057" w:hanging="360"/>
      </w:pPr>
    </w:lvl>
    <w:lvl w:ilvl="4" w:tplc="FFFFFFFF">
      <w:start w:val="1"/>
      <w:numFmt w:val="lowerLetter"/>
      <w:lvlText w:val="%5."/>
      <w:lvlJc w:val="left"/>
      <w:pPr>
        <w:ind w:left="3777" w:hanging="360"/>
      </w:pPr>
    </w:lvl>
    <w:lvl w:ilvl="5" w:tplc="FFFFFFFF">
      <w:start w:val="1"/>
      <w:numFmt w:val="lowerRoman"/>
      <w:lvlText w:val="%6."/>
      <w:lvlJc w:val="right"/>
      <w:pPr>
        <w:ind w:left="4497" w:hanging="180"/>
      </w:pPr>
    </w:lvl>
    <w:lvl w:ilvl="6" w:tplc="FFFFFFFF">
      <w:start w:val="1"/>
      <w:numFmt w:val="decimal"/>
      <w:lvlText w:val="%7."/>
      <w:lvlJc w:val="left"/>
      <w:pPr>
        <w:ind w:left="5217" w:hanging="360"/>
      </w:pPr>
    </w:lvl>
    <w:lvl w:ilvl="7" w:tplc="FFFFFFFF">
      <w:start w:val="1"/>
      <w:numFmt w:val="lowerLetter"/>
      <w:lvlText w:val="%8."/>
      <w:lvlJc w:val="left"/>
      <w:pPr>
        <w:ind w:left="5937" w:hanging="360"/>
      </w:pPr>
    </w:lvl>
    <w:lvl w:ilvl="8" w:tplc="FFFFFFFF">
      <w:start w:val="1"/>
      <w:numFmt w:val="lowerRoman"/>
      <w:lvlText w:val="%9."/>
      <w:lvlJc w:val="right"/>
      <w:pPr>
        <w:ind w:left="6657"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4C27CDE"/>
    <w:multiLevelType w:val="hybridMultilevel"/>
    <w:tmpl w:val="EF3C587A"/>
    <w:lvl w:ilvl="0" w:tplc="0427000F">
      <w:start w:val="1"/>
      <w:numFmt w:val="decimal"/>
      <w:lvlText w:val="%1."/>
      <w:lvlJc w:val="left"/>
      <w:pPr>
        <w:ind w:left="6030" w:hanging="360"/>
      </w:pPr>
    </w:lvl>
    <w:lvl w:ilvl="1" w:tplc="04270019">
      <w:start w:val="1"/>
      <w:numFmt w:val="lowerLetter"/>
      <w:lvlText w:val="%2."/>
      <w:lvlJc w:val="left"/>
      <w:pPr>
        <w:ind w:left="6750" w:hanging="360"/>
      </w:pPr>
    </w:lvl>
    <w:lvl w:ilvl="2" w:tplc="0427001B">
      <w:start w:val="1"/>
      <w:numFmt w:val="lowerRoman"/>
      <w:lvlText w:val="%3."/>
      <w:lvlJc w:val="right"/>
      <w:pPr>
        <w:ind w:left="7470" w:hanging="180"/>
      </w:pPr>
    </w:lvl>
    <w:lvl w:ilvl="3" w:tplc="0427000F">
      <w:start w:val="1"/>
      <w:numFmt w:val="decimal"/>
      <w:lvlText w:val="%4."/>
      <w:lvlJc w:val="left"/>
      <w:pPr>
        <w:ind w:left="8190" w:hanging="360"/>
      </w:pPr>
    </w:lvl>
    <w:lvl w:ilvl="4" w:tplc="04270019">
      <w:start w:val="1"/>
      <w:numFmt w:val="lowerLetter"/>
      <w:lvlText w:val="%5."/>
      <w:lvlJc w:val="left"/>
      <w:pPr>
        <w:ind w:left="8910" w:hanging="360"/>
      </w:pPr>
    </w:lvl>
    <w:lvl w:ilvl="5" w:tplc="0427001B">
      <w:start w:val="1"/>
      <w:numFmt w:val="lowerRoman"/>
      <w:lvlText w:val="%6."/>
      <w:lvlJc w:val="right"/>
      <w:pPr>
        <w:ind w:left="9630" w:hanging="180"/>
      </w:pPr>
    </w:lvl>
    <w:lvl w:ilvl="6" w:tplc="0427000F">
      <w:start w:val="1"/>
      <w:numFmt w:val="decimal"/>
      <w:lvlText w:val="%7."/>
      <w:lvlJc w:val="left"/>
      <w:pPr>
        <w:ind w:left="10350" w:hanging="360"/>
      </w:pPr>
    </w:lvl>
    <w:lvl w:ilvl="7" w:tplc="04270019">
      <w:start w:val="1"/>
      <w:numFmt w:val="lowerLetter"/>
      <w:lvlText w:val="%8."/>
      <w:lvlJc w:val="left"/>
      <w:pPr>
        <w:ind w:left="11070" w:hanging="360"/>
      </w:pPr>
    </w:lvl>
    <w:lvl w:ilvl="8" w:tplc="0427001B">
      <w:start w:val="1"/>
      <w:numFmt w:val="lowerRoman"/>
      <w:lvlText w:val="%9."/>
      <w:lvlJc w:val="right"/>
      <w:pPr>
        <w:ind w:left="11790" w:hanging="18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31093789">
    <w:abstractNumId w:val="5"/>
  </w:num>
  <w:num w:numId="2" w16cid:durableId="1616525492">
    <w:abstractNumId w:val="2"/>
  </w:num>
  <w:num w:numId="3" w16cid:durableId="220870330">
    <w:abstractNumId w:val="7"/>
  </w:num>
  <w:num w:numId="4" w16cid:durableId="1234315113">
    <w:abstractNumId w:val="1"/>
  </w:num>
  <w:num w:numId="5" w16cid:durableId="459540851">
    <w:abstractNumId w:val="9"/>
  </w:num>
  <w:num w:numId="6" w16cid:durableId="1265921619">
    <w:abstractNumId w:val="8"/>
  </w:num>
  <w:num w:numId="7" w16cid:durableId="152333746">
    <w:abstractNumId w:val="0"/>
  </w:num>
  <w:num w:numId="8" w16cid:durableId="284626658">
    <w:abstractNumId w:val="3"/>
  </w:num>
  <w:num w:numId="9" w16cid:durableId="16213795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9695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06D2"/>
    <w:rsid w:val="00015722"/>
    <w:rsid w:val="000252AB"/>
    <w:rsid w:val="000258A2"/>
    <w:rsid w:val="00031B2B"/>
    <w:rsid w:val="00033A70"/>
    <w:rsid w:val="0003441C"/>
    <w:rsid w:val="000477E6"/>
    <w:rsid w:val="00073ECC"/>
    <w:rsid w:val="00076A1D"/>
    <w:rsid w:val="000773EB"/>
    <w:rsid w:val="00085739"/>
    <w:rsid w:val="000962B8"/>
    <w:rsid w:val="000E1F44"/>
    <w:rsid w:val="0010176C"/>
    <w:rsid w:val="00107C26"/>
    <w:rsid w:val="00117349"/>
    <w:rsid w:val="00121A4A"/>
    <w:rsid w:val="00123A2D"/>
    <w:rsid w:val="00124B53"/>
    <w:rsid w:val="0013367C"/>
    <w:rsid w:val="0015078A"/>
    <w:rsid w:val="00152F39"/>
    <w:rsid w:val="0016226A"/>
    <w:rsid w:val="00172D6E"/>
    <w:rsid w:val="001741A3"/>
    <w:rsid w:val="00181E5E"/>
    <w:rsid w:val="00182224"/>
    <w:rsid w:val="00186467"/>
    <w:rsid w:val="00190B66"/>
    <w:rsid w:val="001952BC"/>
    <w:rsid w:val="001A5441"/>
    <w:rsid w:val="001C42C3"/>
    <w:rsid w:val="001D4EA6"/>
    <w:rsid w:val="001E0D2C"/>
    <w:rsid w:val="001F426B"/>
    <w:rsid w:val="00203CFC"/>
    <w:rsid w:val="00207BCB"/>
    <w:rsid w:val="00221449"/>
    <w:rsid w:val="00226341"/>
    <w:rsid w:val="002325F6"/>
    <w:rsid w:val="00234B9B"/>
    <w:rsid w:val="00246055"/>
    <w:rsid w:val="00251454"/>
    <w:rsid w:val="00265516"/>
    <w:rsid w:val="00265861"/>
    <w:rsid w:val="00281984"/>
    <w:rsid w:val="002930A8"/>
    <w:rsid w:val="002B2AA8"/>
    <w:rsid w:val="002E1F99"/>
    <w:rsid w:val="002E684F"/>
    <w:rsid w:val="002F084E"/>
    <w:rsid w:val="002F4A2B"/>
    <w:rsid w:val="002F7E49"/>
    <w:rsid w:val="00310537"/>
    <w:rsid w:val="00323FE1"/>
    <w:rsid w:val="00332E8C"/>
    <w:rsid w:val="00333FD4"/>
    <w:rsid w:val="00334E6D"/>
    <w:rsid w:val="0034144B"/>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1A29"/>
    <w:rsid w:val="00445CDE"/>
    <w:rsid w:val="00451CDA"/>
    <w:rsid w:val="00454723"/>
    <w:rsid w:val="00460718"/>
    <w:rsid w:val="00470C91"/>
    <w:rsid w:val="00471E85"/>
    <w:rsid w:val="00492B94"/>
    <w:rsid w:val="004B0CB9"/>
    <w:rsid w:val="004B1E88"/>
    <w:rsid w:val="004B2369"/>
    <w:rsid w:val="004B3700"/>
    <w:rsid w:val="004B7BDB"/>
    <w:rsid w:val="004D2A79"/>
    <w:rsid w:val="004D450B"/>
    <w:rsid w:val="00501C69"/>
    <w:rsid w:val="0050747C"/>
    <w:rsid w:val="005209D1"/>
    <w:rsid w:val="00520A16"/>
    <w:rsid w:val="005231DA"/>
    <w:rsid w:val="00542B92"/>
    <w:rsid w:val="00551276"/>
    <w:rsid w:val="00553547"/>
    <w:rsid w:val="00565370"/>
    <w:rsid w:val="00570AD7"/>
    <w:rsid w:val="00593FFF"/>
    <w:rsid w:val="00596079"/>
    <w:rsid w:val="00596DF6"/>
    <w:rsid w:val="005B2122"/>
    <w:rsid w:val="005C31CD"/>
    <w:rsid w:val="005D1F24"/>
    <w:rsid w:val="005D5D46"/>
    <w:rsid w:val="005E3BBB"/>
    <w:rsid w:val="005F6C41"/>
    <w:rsid w:val="006046BD"/>
    <w:rsid w:val="006159F1"/>
    <w:rsid w:val="00641E12"/>
    <w:rsid w:val="0065146A"/>
    <w:rsid w:val="006739F1"/>
    <w:rsid w:val="00673C21"/>
    <w:rsid w:val="00686E66"/>
    <w:rsid w:val="00697D48"/>
    <w:rsid w:val="006A29E6"/>
    <w:rsid w:val="006B72D3"/>
    <w:rsid w:val="006D11B7"/>
    <w:rsid w:val="006F0F61"/>
    <w:rsid w:val="006F35F0"/>
    <w:rsid w:val="00712690"/>
    <w:rsid w:val="00726D8F"/>
    <w:rsid w:val="0073170A"/>
    <w:rsid w:val="00732616"/>
    <w:rsid w:val="00734333"/>
    <w:rsid w:val="00744E20"/>
    <w:rsid w:val="007457FF"/>
    <w:rsid w:val="00747FB0"/>
    <w:rsid w:val="0076196C"/>
    <w:rsid w:val="007679BF"/>
    <w:rsid w:val="00771DAD"/>
    <w:rsid w:val="00776CAF"/>
    <w:rsid w:val="007860A8"/>
    <w:rsid w:val="00795EE4"/>
    <w:rsid w:val="007B0ED7"/>
    <w:rsid w:val="007E13A9"/>
    <w:rsid w:val="007E57D4"/>
    <w:rsid w:val="007F4756"/>
    <w:rsid w:val="008030DA"/>
    <w:rsid w:val="00832B07"/>
    <w:rsid w:val="0083342A"/>
    <w:rsid w:val="00843BB9"/>
    <w:rsid w:val="008554EA"/>
    <w:rsid w:val="008568E7"/>
    <w:rsid w:val="00857A58"/>
    <w:rsid w:val="008758A4"/>
    <w:rsid w:val="008758B4"/>
    <w:rsid w:val="008770DC"/>
    <w:rsid w:val="00884122"/>
    <w:rsid w:val="00886BBC"/>
    <w:rsid w:val="00886E2F"/>
    <w:rsid w:val="00891A13"/>
    <w:rsid w:val="00892223"/>
    <w:rsid w:val="0089276C"/>
    <w:rsid w:val="008962CF"/>
    <w:rsid w:val="00896E6B"/>
    <w:rsid w:val="008A46DA"/>
    <w:rsid w:val="008A4BEF"/>
    <w:rsid w:val="008A7972"/>
    <w:rsid w:val="008B0CDD"/>
    <w:rsid w:val="008B0D02"/>
    <w:rsid w:val="008B7173"/>
    <w:rsid w:val="008C2222"/>
    <w:rsid w:val="008C34F7"/>
    <w:rsid w:val="008C4BDA"/>
    <w:rsid w:val="008C6DE0"/>
    <w:rsid w:val="008C7ADA"/>
    <w:rsid w:val="008D6AD8"/>
    <w:rsid w:val="008E7416"/>
    <w:rsid w:val="008F0F3E"/>
    <w:rsid w:val="008F41AE"/>
    <w:rsid w:val="008F651B"/>
    <w:rsid w:val="00930BCB"/>
    <w:rsid w:val="00931D64"/>
    <w:rsid w:val="00931DA8"/>
    <w:rsid w:val="0093337F"/>
    <w:rsid w:val="0096266A"/>
    <w:rsid w:val="0098095A"/>
    <w:rsid w:val="0098592E"/>
    <w:rsid w:val="00992B19"/>
    <w:rsid w:val="009A6D33"/>
    <w:rsid w:val="009B5344"/>
    <w:rsid w:val="009C68F2"/>
    <w:rsid w:val="009D4A3E"/>
    <w:rsid w:val="00A1347F"/>
    <w:rsid w:val="00A151E4"/>
    <w:rsid w:val="00A31AA9"/>
    <w:rsid w:val="00A34FC8"/>
    <w:rsid w:val="00A50EB5"/>
    <w:rsid w:val="00A61F57"/>
    <w:rsid w:val="00A809D6"/>
    <w:rsid w:val="00A85052"/>
    <w:rsid w:val="00A91F1D"/>
    <w:rsid w:val="00A93FA4"/>
    <w:rsid w:val="00A97DCD"/>
    <w:rsid w:val="00AA2084"/>
    <w:rsid w:val="00AA3BDF"/>
    <w:rsid w:val="00AA3F17"/>
    <w:rsid w:val="00AC2E40"/>
    <w:rsid w:val="00AC442B"/>
    <w:rsid w:val="00AD73BE"/>
    <w:rsid w:val="00AD7C4E"/>
    <w:rsid w:val="00AE072A"/>
    <w:rsid w:val="00AE1124"/>
    <w:rsid w:val="00AE1965"/>
    <w:rsid w:val="00AE2064"/>
    <w:rsid w:val="00AE3E19"/>
    <w:rsid w:val="00AE4BED"/>
    <w:rsid w:val="00AE61D9"/>
    <w:rsid w:val="00B0620E"/>
    <w:rsid w:val="00B137E9"/>
    <w:rsid w:val="00B14102"/>
    <w:rsid w:val="00B3497C"/>
    <w:rsid w:val="00B3631C"/>
    <w:rsid w:val="00B36446"/>
    <w:rsid w:val="00B418C7"/>
    <w:rsid w:val="00B42A07"/>
    <w:rsid w:val="00B46301"/>
    <w:rsid w:val="00B54A3C"/>
    <w:rsid w:val="00B575EA"/>
    <w:rsid w:val="00B57A83"/>
    <w:rsid w:val="00B63C6A"/>
    <w:rsid w:val="00B667A8"/>
    <w:rsid w:val="00B668F0"/>
    <w:rsid w:val="00B728BD"/>
    <w:rsid w:val="00B75B41"/>
    <w:rsid w:val="00B76EEA"/>
    <w:rsid w:val="00B81EF2"/>
    <w:rsid w:val="00B8214E"/>
    <w:rsid w:val="00B82C13"/>
    <w:rsid w:val="00B8562E"/>
    <w:rsid w:val="00B92B25"/>
    <w:rsid w:val="00B951B0"/>
    <w:rsid w:val="00BA627E"/>
    <w:rsid w:val="00BA7260"/>
    <w:rsid w:val="00BA7D22"/>
    <w:rsid w:val="00BB6943"/>
    <w:rsid w:val="00BD0DEA"/>
    <w:rsid w:val="00BD222B"/>
    <w:rsid w:val="00BF582B"/>
    <w:rsid w:val="00C0081B"/>
    <w:rsid w:val="00C02331"/>
    <w:rsid w:val="00C04267"/>
    <w:rsid w:val="00C06695"/>
    <w:rsid w:val="00C13615"/>
    <w:rsid w:val="00C1630A"/>
    <w:rsid w:val="00C223C0"/>
    <w:rsid w:val="00C31AC9"/>
    <w:rsid w:val="00C42389"/>
    <w:rsid w:val="00C42BD3"/>
    <w:rsid w:val="00C43EC0"/>
    <w:rsid w:val="00C531AF"/>
    <w:rsid w:val="00C61D7C"/>
    <w:rsid w:val="00C64AC0"/>
    <w:rsid w:val="00C65C53"/>
    <w:rsid w:val="00C7179E"/>
    <w:rsid w:val="00C76C50"/>
    <w:rsid w:val="00C800F0"/>
    <w:rsid w:val="00C83B11"/>
    <w:rsid w:val="00C95C12"/>
    <w:rsid w:val="00CB356C"/>
    <w:rsid w:val="00CC0BB5"/>
    <w:rsid w:val="00CE1C9C"/>
    <w:rsid w:val="00CE2BB0"/>
    <w:rsid w:val="00CE349F"/>
    <w:rsid w:val="00CF6F64"/>
    <w:rsid w:val="00D12FFE"/>
    <w:rsid w:val="00D32D0D"/>
    <w:rsid w:val="00D433DC"/>
    <w:rsid w:val="00D513AA"/>
    <w:rsid w:val="00D52EF0"/>
    <w:rsid w:val="00D7382F"/>
    <w:rsid w:val="00D75F4B"/>
    <w:rsid w:val="00D82C9A"/>
    <w:rsid w:val="00D83E1B"/>
    <w:rsid w:val="00D90D39"/>
    <w:rsid w:val="00D93DCC"/>
    <w:rsid w:val="00DA0452"/>
    <w:rsid w:val="00DB3317"/>
    <w:rsid w:val="00DB5D63"/>
    <w:rsid w:val="00DC0474"/>
    <w:rsid w:val="00DC38E8"/>
    <w:rsid w:val="00DD1AFB"/>
    <w:rsid w:val="00DD58E1"/>
    <w:rsid w:val="00DE293E"/>
    <w:rsid w:val="00DF4642"/>
    <w:rsid w:val="00E01F2D"/>
    <w:rsid w:val="00E01F65"/>
    <w:rsid w:val="00E0742E"/>
    <w:rsid w:val="00E12D82"/>
    <w:rsid w:val="00E15F15"/>
    <w:rsid w:val="00E16384"/>
    <w:rsid w:val="00E3136B"/>
    <w:rsid w:val="00E32723"/>
    <w:rsid w:val="00E4352B"/>
    <w:rsid w:val="00E46E1F"/>
    <w:rsid w:val="00E62F34"/>
    <w:rsid w:val="00E72134"/>
    <w:rsid w:val="00E72754"/>
    <w:rsid w:val="00E94E07"/>
    <w:rsid w:val="00EA6026"/>
    <w:rsid w:val="00EB4A11"/>
    <w:rsid w:val="00EC44AF"/>
    <w:rsid w:val="00ED18C9"/>
    <w:rsid w:val="00EE5AC1"/>
    <w:rsid w:val="00F20019"/>
    <w:rsid w:val="00F27C80"/>
    <w:rsid w:val="00F320CA"/>
    <w:rsid w:val="00F40651"/>
    <w:rsid w:val="00F4093E"/>
    <w:rsid w:val="00F41211"/>
    <w:rsid w:val="00F41A98"/>
    <w:rsid w:val="00F4316F"/>
    <w:rsid w:val="00F6384B"/>
    <w:rsid w:val="00F67640"/>
    <w:rsid w:val="00F75C89"/>
    <w:rsid w:val="00F7723D"/>
    <w:rsid w:val="00FB0BBB"/>
    <w:rsid w:val="00FB2240"/>
    <w:rsid w:val="00FB6B02"/>
    <w:rsid w:val="00FC1CD3"/>
    <w:rsid w:val="00FC58BB"/>
    <w:rsid w:val="00FC763D"/>
    <w:rsid w:val="00FD0852"/>
    <w:rsid w:val="00FD2657"/>
    <w:rsid w:val="00FE0B13"/>
    <w:rsid w:val="00FF4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1D227"/>
  <w15:docId w15:val="{9AF478AD-742C-42E3-8783-3ACB64DC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D93DCC"/>
    <w:rPr>
      <w:rFonts w:ascii="Calibri" w:hAnsi="Calibri"/>
      <w:sz w:val="22"/>
      <w:szCs w:val="22"/>
    </w:rPr>
  </w:style>
  <w:style w:type="paragraph" w:styleId="Paprastasistekstas">
    <w:name w:val="Plain Text"/>
    <w:basedOn w:val="prastasis"/>
    <w:link w:val="PaprastasistekstasDiagrama"/>
    <w:rsid w:val="00D93DCC"/>
    <w:rPr>
      <w:rFonts w:ascii="Calibri" w:eastAsia="Calibri" w:hAnsi="Calibri"/>
      <w:sz w:val="22"/>
      <w:szCs w:val="21"/>
      <w:lang w:eastAsia="en-US"/>
    </w:rPr>
  </w:style>
  <w:style w:type="character" w:customStyle="1" w:styleId="PaprastasistekstasDiagrama">
    <w:name w:val="Paprastasis tekstas Diagrama"/>
    <w:link w:val="Paprastasistekstas"/>
    <w:rsid w:val="00D93DCC"/>
    <w:rPr>
      <w:rFonts w:ascii="Calibri" w:eastAsia="Calibri" w:hAnsi="Calibri"/>
      <w:sz w:val="22"/>
      <w:szCs w:val="21"/>
      <w:lang w:eastAsia="en-US"/>
    </w:rPr>
  </w:style>
  <w:style w:type="paragraph" w:styleId="Betarp">
    <w:name w:val="No Spacing"/>
    <w:qFormat/>
    <w:rsid w:val="00D93DCC"/>
    <w:rPr>
      <w:rFonts w:eastAsia="Calibri"/>
      <w:sz w:val="24"/>
      <w:szCs w:val="22"/>
    </w:rPr>
  </w:style>
  <w:style w:type="character" w:styleId="Neapdorotaspaminjimas">
    <w:name w:val="Unresolved Mention"/>
    <w:rsid w:val="00AA2084"/>
    <w:rPr>
      <w:color w:val="605E5C"/>
      <w:shd w:val="clear" w:color="auto" w:fill="E1DFDD"/>
    </w:rPr>
  </w:style>
  <w:style w:type="paragraph" w:styleId="prastasiniatinklio">
    <w:name w:val="Normal (Web)"/>
    <w:basedOn w:val="prastasis"/>
    <w:rsid w:val="00D7382F"/>
    <w:pPr>
      <w:spacing w:before="100" w:beforeAutospacing="1" w:after="100" w:afterAutospacing="1"/>
    </w:pPr>
    <w:rPr>
      <w:szCs w:val="24"/>
    </w:rPr>
  </w:style>
  <w:style w:type="paragraph" w:customStyle="1" w:styleId="Betarp2">
    <w:name w:val="Be tarpų2"/>
    <w:rsid w:val="00D7382F"/>
    <w:rPr>
      <w:rFonts w:eastAsia="Calibri"/>
      <w:sz w:val="24"/>
      <w:szCs w:val="22"/>
    </w:rPr>
  </w:style>
  <w:style w:type="paragraph" w:customStyle="1" w:styleId="Betarp1">
    <w:name w:val="Be tarpų1"/>
    <w:rsid w:val="00D7382F"/>
    <w:rPr>
      <w:sz w:val="24"/>
      <w:szCs w:val="24"/>
    </w:rPr>
  </w:style>
  <w:style w:type="character" w:styleId="Komentaronuoroda">
    <w:name w:val="annotation reference"/>
    <w:rsid w:val="00265861"/>
    <w:rPr>
      <w:sz w:val="16"/>
      <w:szCs w:val="16"/>
    </w:rPr>
  </w:style>
  <w:style w:type="paragraph" w:styleId="Komentarotekstas">
    <w:name w:val="annotation text"/>
    <w:basedOn w:val="prastasis"/>
    <w:link w:val="KomentarotekstasDiagrama"/>
    <w:rsid w:val="00265861"/>
    <w:rPr>
      <w:sz w:val="20"/>
    </w:rPr>
  </w:style>
  <w:style w:type="character" w:customStyle="1" w:styleId="KomentarotekstasDiagrama">
    <w:name w:val="Komentaro tekstas Diagrama"/>
    <w:basedOn w:val="Numatytasispastraiposriftas"/>
    <w:link w:val="Komentarotekstas"/>
    <w:rsid w:val="00265861"/>
  </w:style>
  <w:style w:type="paragraph" w:styleId="Komentarotema">
    <w:name w:val="annotation subject"/>
    <w:basedOn w:val="Komentarotekstas"/>
    <w:next w:val="Komentarotekstas"/>
    <w:link w:val="KomentarotemaDiagrama"/>
    <w:rsid w:val="00265861"/>
    <w:rPr>
      <w:b/>
      <w:bCs/>
    </w:rPr>
  </w:style>
  <w:style w:type="character" w:customStyle="1" w:styleId="KomentarotemaDiagrama">
    <w:name w:val="Komentaro tema Diagrama"/>
    <w:link w:val="Komentarotema"/>
    <w:rsid w:val="00265861"/>
    <w:rPr>
      <w:b/>
      <w:bCs/>
    </w:rPr>
  </w:style>
  <w:style w:type="paragraph" w:styleId="Sraopastraipa">
    <w:name w:val="List Paragraph"/>
    <w:basedOn w:val="prastasis"/>
    <w:qFormat/>
    <w:rsid w:val="006F0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95291119">
      <w:bodyDiv w:val="1"/>
      <w:marLeft w:val="0"/>
      <w:marRight w:val="0"/>
      <w:marTop w:val="0"/>
      <w:marBottom w:val="0"/>
      <w:divBdr>
        <w:top w:val="none" w:sz="0" w:space="0" w:color="auto"/>
        <w:left w:val="none" w:sz="0" w:space="0" w:color="auto"/>
        <w:bottom w:val="none" w:sz="0" w:space="0" w:color="auto"/>
        <w:right w:val="none" w:sz="0" w:space="0" w:color="auto"/>
      </w:divBdr>
    </w:div>
    <w:div w:id="94241914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17606378">
      <w:bodyDiv w:val="1"/>
      <w:marLeft w:val="0"/>
      <w:marRight w:val="0"/>
      <w:marTop w:val="0"/>
      <w:marBottom w:val="0"/>
      <w:divBdr>
        <w:top w:val="none" w:sz="0" w:space="0" w:color="auto"/>
        <w:left w:val="none" w:sz="0" w:space="0" w:color="auto"/>
        <w:bottom w:val="none" w:sz="0" w:space="0" w:color="auto"/>
        <w:right w:val="none" w:sz="0" w:space="0" w:color="auto"/>
      </w:divBdr>
    </w:div>
    <w:div w:id="1367175463">
      <w:bodyDiv w:val="1"/>
      <w:marLeft w:val="0"/>
      <w:marRight w:val="0"/>
      <w:marTop w:val="0"/>
      <w:marBottom w:val="0"/>
      <w:divBdr>
        <w:top w:val="none" w:sz="0" w:space="0" w:color="auto"/>
        <w:left w:val="none" w:sz="0" w:space="0" w:color="auto"/>
        <w:bottom w:val="none" w:sz="0" w:space="0" w:color="auto"/>
        <w:right w:val="none" w:sz="0" w:space="0" w:color="auto"/>
      </w:divBdr>
    </w:div>
    <w:div w:id="1415274376">
      <w:bodyDiv w:val="1"/>
      <w:marLeft w:val="0"/>
      <w:marRight w:val="0"/>
      <w:marTop w:val="0"/>
      <w:marBottom w:val="0"/>
      <w:divBdr>
        <w:top w:val="none" w:sz="0" w:space="0" w:color="auto"/>
        <w:left w:val="none" w:sz="0" w:space="0" w:color="auto"/>
        <w:bottom w:val="none" w:sz="0" w:space="0" w:color="auto"/>
        <w:right w:val="none" w:sz="0" w:space="0" w:color="auto"/>
      </w:divBdr>
    </w:div>
    <w:div w:id="1708095126">
      <w:bodyDiv w:val="1"/>
      <w:marLeft w:val="0"/>
      <w:marRight w:val="0"/>
      <w:marTop w:val="0"/>
      <w:marBottom w:val="0"/>
      <w:divBdr>
        <w:top w:val="none" w:sz="0" w:space="0" w:color="auto"/>
        <w:left w:val="none" w:sz="0" w:space="0" w:color="auto"/>
        <w:bottom w:val="none" w:sz="0" w:space="0" w:color="auto"/>
        <w:right w:val="none" w:sz="0" w:space="0" w:color="auto"/>
      </w:divBdr>
    </w:div>
    <w:div w:id="1996840900">
      <w:bodyDiv w:val="1"/>
      <w:marLeft w:val="0"/>
      <w:marRight w:val="0"/>
      <w:marTop w:val="0"/>
      <w:marBottom w:val="0"/>
      <w:divBdr>
        <w:top w:val="none" w:sz="0" w:space="0" w:color="auto"/>
        <w:left w:val="none" w:sz="0" w:space="0" w:color="auto"/>
        <w:bottom w:val="none" w:sz="0" w:space="0" w:color="auto"/>
        <w:right w:val="none" w:sz="0" w:space="0" w:color="auto"/>
      </w:divBdr>
    </w:div>
    <w:div w:id="203530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jvdm.l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9</Pages>
  <Words>14857</Words>
  <Characters>8470</Characters>
  <Application>Microsoft Office Word</Application>
  <DocSecurity>0</DocSecurity>
  <Lines>70</Lines>
  <Paragraphs>46</Paragraphs>
  <ScaleCrop>false</ScaleCrop>
  <Company>Sveikatos apsaugos ministerija</Company>
  <LinksUpToDate>false</LinksUpToDate>
  <CharactersWithSpaces>23281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2024-05-10T11:52:00Z</dcterms:created>
  <dcterms:modified xsi:type="dcterms:W3CDTF">2024-05-10T11:54:00Z</dcterms:modified>
</cp:coreProperties>
</file>