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F6A9F" w14:textId="77777777" w:rsidR="00FC1CD3" w:rsidRDefault="00F320CA" w:rsidP="00F320CA">
      <w:pPr>
        <w:jc w:val="right"/>
        <w:rPr>
          <w:lang w:val="en-US"/>
        </w:rPr>
      </w:pPr>
      <w:r>
        <w:t>Projektas</w:t>
      </w:r>
    </w:p>
    <w:p w14:paraId="712A48D9" w14:textId="77777777" w:rsidR="00FC1CD3" w:rsidRDefault="00FC1CD3">
      <w:pPr>
        <w:jc w:val="center"/>
        <w:rPr>
          <w:b/>
          <w:bCs/>
          <w:lang w:val="en-US"/>
        </w:rPr>
      </w:pPr>
    </w:p>
    <w:p w14:paraId="7E39AD08" w14:textId="77777777" w:rsidR="00FC1CD3" w:rsidRDefault="00F20019">
      <w:pPr>
        <w:jc w:val="center"/>
        <w:rPr>
          <w:b/>
        </w:rPr>
      </w:pPr>
      <w:r>
        <w:rPr>
          <w:b/>
          <w:lang w:val="en-US"/>
        </w:rPr>
        <w:t xml:space="preserve">JURBARKO RAJONO </w:t>
      </w:r>
      <w:r>
        <w:rPr>
          <w:b/>
        </w:rPr>
        <w:t>SAVIVALDYBĖS TARYBA</w:t>
      </w:r>
    </w:p>
    <w:p w14:paraId="05B0040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530EE89" w14:textId="77777777">
        <w:trPr>
          <w:cantSplit/>
        </w:trPr>
        <w:tc>
          <w:tcPr>
            <w:tcW w:w="9654" w:type="dxa"/>
            <w:tcBorders>
              <w:top w:val="nil"/>
              <w:left w:val="nil"/>
              <w:bottom w:val="nil"/>
              <w:right w:val="nil"/>
            </w:tcBorders>
          </w:tcPr>
          <w:p w14:paraId="4C96EDE3" w14:textId="77777777" w:rsidR="00FC1CD3" w:rsidRDefault="00F20019">
            <w:pPr>
              <w:pStyle w:val="Antrat1"/>
              <w:rPr>
                <w:caps/>
                <w:szCs w:val="24"/>
                <w:lang w:val="lt-LT"/>
              </w:rPr>
            </w:pPr>
            <w:r>
              <w:rPr>
                <w:szCs w:val="24"/>
                <w:lang w:val="lt-LT"/>
              </w:rPr>
              <w:t>SPRENDIMAS</w:t>
            </w:r>
          </w:p>
        </w:tc>
      </w:tr>
      <w:bookmarkStart w:id="0" w:name="DOC_DATA"/>
      <w:tr w:rsidR="00FC1CD3" w14:paraId="02DEE9EA" w14:textId="77777777">
        <w:trPr>
          <w:cantSplit/>
        </w:trPr>
        <w:tc>
          <w:tcPr>
            <w:tcW w:w="9654" w:type="dxa"/>
            <w:tcBorders>
              <w:top w:val="nil"/>
              <w:left w:val="nil"/>
              <w:bottom w:val="nil"/>
              <w:right w:val="nil"/>
            </w:tcBorders>
          </w:tcPr>
          <w:p w14:paraId="513BEC23" w14:textId="77777777" w:rsidR="00FC1CD3" w:rsidRPr="00AE61D9" w:rsidRDefault="00DE4B2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D60556">
              <w:rPr>
                <w:b/>
                <w:noProof/>
              </w:rPr>
              <w:t xml:space="preserve">2023 METŲ </w:t>
            </w:r>
            <w:r w:rsidR="00F20019" w:rsidRPr="005231DA">
              <w:rPr>
                <w:b/>
                <w:noProof/>
              </w:rPr>
              <w:t>JURBARKO R</w:t>
            </w:r>
            <w:r w:rsidR="00C65F5E">
              <w:rPr>
                <w:b/>
                <w:noProof/>
              </w:rPr>
              <w:t>.</w:t>
            </w:r>
            <w:r w:rsidR="00F20019" w:rsidRPr="005231DA">
              <w:rPr>
                <w:b/>
                <w:noProof/>
              </w:rPr>
              <w:t xml:space="preserve"> KLAUSUČIŲ STASIO SANTVARO PAGRINDINĖS MOKYKLOS </w:t>
            </w:r>
            <w:r w:rsidR="00A00DC2">
              <w:rPr>
                <w:b/>
                <w:noProof/>
              </w:rPr>
              <w:t>METINIŲ ATASKAITŲ RINKINI</w:t>
            </w:r>
            <w:r w:rsidR="00D60556">
              <w:rPr>
                <w:b/>
                <w:noProof/>
              </w:rPr>
              <w:t>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A0C2935" w14:textId="77777777">
        <w:trPr>
          <w:cantSplit/>
        </w:trPr>
        <w:tc>
          <w:tcPr>
            <w:tcW w:w="9654" w:type="dxa"/>
            <w:tcBorders>
              <w:top w:val="nil"/>
              <w:left w:val="nil"/>
              <w:bottom w:val="nil"/>
              <w:right w:val="nil"/>
            </w:tcBorders>
          </w:tcPr>
          <w:p w14:paraId="3CC05867" w14:textId="77777777" w:rsidR="00FC1CD3" w:rsidRPr="00AE61D9" w:rsidRDefault="00FC1CD3">
            <w:pPr>
              <w:pStyle w:val="Antrats"/>
              <w:tabs>
                <w:tab w:val="left" w:pos="1296"/>
              </w:tabs>
              <w:jc w:val="center"/>
              <w:rPr>
                <w:b/>
                <w:caps/>
              </w:rPr>
            </w:pPr>
          </w:p>
        </w:tc>
      </w:tr>
      <w:tr w:rsidR="00FC1CD3" w14:paraId="2D073517" w14:textId="77777777" w:rsidTr="00BA627E">
        <w:trPr>
          <w:cantSplit/>
          <w:trHeight w:val="359"/>
        </w:trPr>
        <w:tc>
          <w:tcPr>
            <w:tcW w:w="9654" w:type="dxa"/>
            <w:tcBorders>
              <w:top w:val="nil"/>
              <w:left w:val="nil"/>
              <w:bottom w:val="nil"/>
              <w:right w:val="nil"/>
            </w:tcBorders>
          </w:tcPr>
          <w:p w14:paraId="7F95B329" w14:textId="77777777" w:rsidR="00FC1CD3" w:rsidRPr="00AE61D9" w:rsidRDefault="00DE4B2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TSP-98</w:t>
            </w:r>
            <w:r w:rsidRPr="00AE61D9">
              <w:fldChar w:fldCharType="end"/>
            </w:r>
          </w:p>
        </w:tc>
      </w:tr>
      <w:tr w:rsidR="00FC1CD3" w14:paraId="10B02442" w14:textId="77777777">
        <w:trPr>
          <w:cantSplit/>
        </w:trPr>
        <w:tc>
          <w:tcPr>
            <w:tcW w:w="9654" w:type="dxa"/>
            <w:tcBorders>
              <w:top w:val="nil"/>
              <w:left w:val="nil"/>
              <w:bottom w:val="nil"/>
              <w:right w:val="nil"/>
            </w:tcBorders>
          </w:tcPr>
          <w:p w14:paraId="088C7D50" w14:textId="77777777" w:rsidR="00FC1CD3" w:rsidRDefault="00F20019">
            <w:pPr>
              <w:jc w:val="center"/>
            </w:pPr>
            <w:r>
              <w:t>Jurbarkas</w:t>
            </w:r>
          </w:p>
        </w:tc>
      </w:tr>
    </w:tbl>
    <w:p w14:paraId="506BA24F" w14:textId="77777777" w:rsidR="00FC1CD3" w:rsidRPr="00892223" w:rsidRDefault="00FC1CD3"/>
    <w:p w14:paraId="4C3EA297" w14:textId="1294DC2D" w:rsidR="00D60556" w:rsidRPr="0003606D" w:rsidRDefault="00D60556" w:rsidP="00D60556">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sidR="00AF0541">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066419">
        <w:rPr>
          <w:szCs w:val="24"/>
        </w:rPr>
        <w:t> </w:t>
      </w:r>
      <w:r w:rsidRPr="001471AC">
        <w:rPr>
          <w:szCs w:val="24"/>
        </w:rPr>
        <w:t>punktu</w:t>
      </w:r>
      <w:r>
        <w:rPr>
          <w:szCs w:val="24"/>
        </w:rPr>
        <w:t xml:space="preserve"> </w:t>
      </w:r>
      <w:r w:rsidRPr="0003606D">
        <w:rPr>
          <w:szCs w:val="24"/>
        </w:rPr>
        <w:t xml:space="preserve">ir </w:t>
      </w:r>
      <w:r w:rsidRPr="00AF0541">
        <w:rPr>
          <w:szCs w:val="24"/>
        </w:rPr>
        <w:t xml:space="preserve">atsižvelgdama į Jurbarko r. </w:t>
      </w:r>
      <w:r w:rsidR="00C65F5E" w:rsidRPr="00AF0541">
        <w:rPr>
          <w:szCs w:val="24"/>
        </w:rPr>
        <w:t xml:space="preserve">Klausučių Stasio </w:t>
      </w:r>
      <w:proofErr w:type="spellStart"/>
      <w:r w:rsidR="00C65F5E" w:rsidRPr="00AF0541">
        <w:rPr>
          <w:szCs w:val="24"/>
        </w:rPr>
        <w:t>Santvaro</w:t>
      </w:r>
      <w:proofErr w:type="spellEnd"/>
      <w:r w:rsidR="00C65F5E" w:rsidRPr="00AF0541">
        <w:rPr>
          <w:szCs w:val="24"/>
        </w:rPr>
        <w:t xml:space="preserve"> pagrindinės mokyklos</w:t>
      </w:r>
      <w:r w:rsidRPr="00AF0541">
        <w:rPr>
          <w:szCs w:val="24"/>
        </w:rPr>
        <w:t xml:space="preserve"> 2024 m. balandžio </w:t>
      </w:r>
      <w:r w:rsidR="00AF0541" w:rsidRPr="00AF0541">
        <w:rPr>
          <w:szCs w:val="24"/>
        </w:rPr>
        <w:t>10</w:t>
      </w:r>
      <w:r w:rsidRPr="00AF0541">
        <w:rPr>
          <w:szCs w:val="24"/>
        </w:rPr>
        <w:t xml:space="preserve"> d. raštą Nr. </w:t>
      </w:r>
      <w:r w:rsidR="00AF0541" w:rsidRPr="00AF0541">
        <w:rPr>
          <w:szCs w:val="24"/>
        </w:rPr>
        <w:t>31DR-60</w:t>
      </w:r>
      <w:r w:rsidRPr="00AF0541">
        <w:rPr>
          <w:szCs w:val="24"/>
        </w:rPr>
        <w:t xml:space="preserve"> </w:t>
      </w:r>
      <w:r w:rsidR="00600799" w:rsidRPr="00AF0541">
        <w:rPr>
          <w:szCs w:val="24"/>
        </w:rPr>
        <w:t>„</w:t>
      </w:r>
      <w:r w:rsidRPr="00AF0541">
        <w:rPr>
          <w:szCs w:val="24"/>
        </w:rPr>
        <w:t>Dėl Jurbarko r</w:t>
      </w:r>
      <w:r w:rsidR="00C65F5E" w:rsidRPr="00AF0541">
        <w:rPr>
          <w:szCs w:val="24"/>
        </w:rPr>
        <w:t>.</w:t>
      </w:r>
      <w:r w:rsidRPr="00AF0541">
        <w:rPr>
          <w:szCs w:val="24"/>
        </w:rPr>
        <w:t xml:space="preserve"> </w:t>
      </w:r>
      <w:r w:rsidR="00C65F5E" w:rsidRPr="00AF0541">
        <w:rPr>
          <w:szCs w:val="24"/>
        </w:rPr>
        <w:t>Klausučių</w:t>
      </w:r>
      <w:r w:rsidRPr="00AF0541">
        <w:rPr>
          <w:szCs w:val="24"/>
        </w:rPr>
        <w:t xml:space="preserve"> </w:t>
      </w:r>
      <w:r w:rsidR="00C65F5E" w:rsidRPr="00AF0541">
        <w:rPr>
          <w:szCs w:val="24"/>
        </w:rPr>
        <w:t xml:space="preserve">Stasio </w:t>
      </w:r>
      <w:proofErr w:type="spellStart"/>
      <w:r w:rsidR="00C65F5E" w:rsidRPr="00AF0541">
        <w:rPr>
          <w:szCs w:val="24"/>
        </w:rPr>
        <w:t>Santvaro</w:t>
      </w:r>
      <w:proofErr w:type="spellEnd"/>
      <w:r w:rsidR="00C65F5E" w:rsidRPr="00AF0541">
        <w:rPr>
          <w:szCs w:val="24"/>
        </w:rPr>
        <w:t xml:space="preserve"> pagrindinės mokyklos </w:t>
      </w:r>
      <w:r w:rsidRPr="00AF0541">
        <w:rPr>
          <w:szCs w:val="24"/>
        </w:rPr>
        <w:t xml:space="preserve">2023 metų </w:t>
      </w:r>
      <w:r w:rsidR="00AF0541" w:rsidRPr="00AF0541">
        <w:rPr>
          <w:szCs w:val="24"/>
        </w:rPr>
        <w:t>veiklos ataskaitos pateikimo</w:t>
      </w:r>
      <w:r w:rsidRPr="00AF0541">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19F0584B" w14:textId="77777777" w:rsidR="00D60556" w:rsidRPr="0009078D" w:rsidRDefault="00D60556" w:rsidP="00D60556">
      <w:pPr>
        <w:tabs>
          <w:tab w:val="left" w:pos="709"/>
        </w:tabs>
        <w:suppressAutoHyphens/>
        <w:ind w:firstLine="709"/>
        <w:jc w:val="both"/>
        <w:rPr>
          <w:szCs w:val="24"/>
        </w:rPr>
      </w:pPr>
      <w:r w:rsidRPr="0003606D">
        <w:rPr>
          <w:szCs w:val="24"/>
        </w:rPr>
        <w:tab/>
      </w:r>
      <w:r>
        <w:rPr>
          <w:szCs w:val="24"/>
        </w:rPr>
        <w:t>Patvirtinti</w:t>
      </w:r>
      <w:r w:rsidR="00AF0541" w:rsidRPr="00AF0541">
        <w:rPr>
          <w:szCs w:val="24"/>
        </w:rPr>
        <w:t xml:space="preserve"> </w:t>
      </w:r>
      <w:r w:rsidR="00AF0541" w:rsidRPr="0003606D">
        <w:rPr>
          <w:szCs w:val="24"/>
        </w:rPr>
        <w:t xml:space="preserve">Jurbarko r. </w:t>
      </w:r>
      <w:r w:rsidR="00AF0541">
        <w:rPr>
          <w:szCs w:val="24"/>
        </w:rPr>
        <w:t xml:space="preserve">Klausučių Stasio </w:t>
      </w:r>
      <w:proofErr w:type="spellStart"/>
      <w:r w:rsidR="00AF0541">
        <w:rPr>
          <w:szCs w:val="24"/>
        </w:rPr>
        <w:t>Santvaro</w:t>
      </w:r>
      <w:proofErr w:type="spellEnd"/>
      <w:r w:rsidR="00AF0541">
        <w:rPr>
          <w:szCs w:val="24"/>
        </w:rPr>
        <w:t xml:space="preserve"> pagrindinės mokyklos 2023 metų metinių ataskaitų rinkinį</w:t>
      </w:r>
      <w:r w:rsidRPr="0009078D">
        <w:rPr>
          <w:szCs w:val="24"/>
        </w:rPr>
        <w:t>:</w:t>
      </w:r>
    </w:p>
    <w:p w14:paraId="3477FC21" w14:textId="77777777" w:rsidR="00D60556" w:rsidRPr="0009078D" w:rsidRDefault="00D60556" w:rsidP="00D60556">
      <w:pPr>
        <w:numPr>
          <w:ilvl w:val="0"/>
          <w:numId w:val="8"/>
        </w:numPr>
        <w:tabs>
          <w:tab w:val="left" w:pos="709"/>
          <w:tab w:val="left" w:pos="993"/>
        </w:tabs>
        <w:suppressAutoHyphens/>
        <w:ind w:left="0" w:firstLine="709"/>
        <w:jc w:val="both"/>
        <w:rPr>
          <w:szCs w:val="24"/>
        </w:rPr>
      </w:pPr>
      <w:r w:rsidRPr="0003606D">
        <w:rPr>
          <w:szCs w:val="24"/>
        </w:rPr>
        <w:t xml:space="preserve">Jurbarko r. </w:t>
      </w:r>
      <w:r w:rsidR="00C65F5E">
        <w:rPr>
          <w:szCs w:val="24"/>
        </w:rPr>
        <w:t xml:space="preserve">Klausučių Stasio </w:t>
      </w:r>
      <w:proofErr w:type="spellStart"/>
      <w:r w:rsidR="00C65F5E">
        <w:rPr>
          <w:szCs w:val="24"/>
        </w:rPr>
        <w:t>Santvaro</w:t>
      </w:r>
      <w:proofErr w:type="spellEnd"/>
      <w:r w:rsidR="00C65F5E">
        <w:rPr>
          <w:szCs w:val="24"/>
        </w:rPr>
        <w:t xml:space="preserve"> pagrindinės mokyklos</w:t>
      </w:r>
      <w:r w:rsidRPr="0003606D">
        <w:rPr>
          <w:szCs w:val="24"/>
        </w:rPr>
        <w:t xml:space="preserve"> </w:t>
      </w:r>
      <w:r w:rsidRPr="0009078D">
        <w:rPr>
          <w:szCs w:val="24"/>
        </w:rPr>
        <w:t>2023 metų veiklos ataskait</w:t>
      </w:r>
      <w:r>
        <w:rPr>
          <w:szCs w:val="24"/>
        </w:rPr>
        <w:t>ą</w:t>
      </w:r>
      <w:r w:rsidRPr="0009078D">
        <w:rPr>
          <w:szCs w:val="24"/>
        </w:rPr>
        <w:t xml:space="preserve"> (pridedama);</w:t>
      </w:r>
    </w:p>
    <w:p w14:paraId="7A105161" w14:textId="77777777" w:rsidR="00D60556" w:rsidRPr="0009078D" w:rsidRDefault="00D60556" w:rsidP="00D60556">
      <w:pPr>
        <w:numPr>
          <w:ilvl w:val="0"/>
          <w:numId w:val="8"/>
        </w:numPr>
        <w:tabs>
          <w:tab w:val="left" w:pos="709"/>
          <w:tab w:val="left" w:pos="993"/>
        </w:tabs>
        <w:suppressAutoHyphens/>
        <w:ind w:left="0" w:firstLine="709"/>
        <w:jc w:val="both"/>
      </w:pPr>
      <w:r w:rsidRPr="0003606D">
        <w:rPr>
          <w:szCs w:val="24"/>
        </w:rPr>
        <w:t xml:space="preserve">Jurbarko r. </w:t>
      </w:r>
      <w:r w:rsidR="00C65F5E">
        <w:rPr>
          <w:szCs w:val="24"/>
        </w:rPr>
        <w:t xml:space="preserve">Klausučių Stasio </w:t>
      </w:r>
      <w:proofErr w:type="spellStart"/>
      <w:r w:rsidR="00C65F5E">
        <w:rPr>
          <w:szCs w:val="24"/>
        </w:rPr>
        <w:t>Santvaro</w:t>
      </w:r>
      <w:proofErr w:type="spellEnd"/>
      <w:r w:rsidR="00C65F5E">
        <w:rPr>
          <w:szCs w:val="24"/>
        </w:rPr>
        <w:t xml:space="preserve"> pagrindinės mokyklos</w:t>
      </w:r>
      <w:r w:rsidR="00C65F5E" w:rsidRPr="0003606D">
        <w:rPr>
          <w:szCs w:val="24"/>
        </w:rPr>
        <w:t xml:space="preserve"> </w:t>
      </w:r>
      <w:r w:rsidR="006854E0" w:rsidRPr="0009078D">
        <w:rPr>
          <w:szCs w:val="24"/>
        </w:rPr>
        <w:t xml:space="preserve">2023 metų </w:t>
      </w:r>
      <w:r w:rsidRPr="0009078D">
        <w:rPr>
          <w:szCs w:val="24"/>
        </w:rPr>
        <w:t>finansinių ataskaitų rinkin</w:t>
      </w:r>
      <w:r>
        <w:rPr>
          <w:szCs w:val="24"/>
        </w:rPr>
        <w:t>į</w:t>
      </w:r>
      <w:r w:rsidRPr="0009078D">
        <w:rPr>
          <w:szCs w:val="24"/>
        </w:rPr>
        <w:t xml:space="preserve"> (pridedama);</w:t>
      </w:r>
    </w:p>
    <w:p w14:paraId="5F0EFCCF" w14:textId="77777777" w:rsidR="00D60556" w:rsidRPr="0009078D" w:rsidRDefault="00D60556" w:rsidP="00D60556">
      <w:pPr>
        <w:numPr>
          <w:ilvl w:val="0"/>
          <w:numId w:val="8"/>
        </w:numPr>
        <w:tabs>
          <w:tab w:val="left" w:pos="709"/>
          <w:tab w:val="left" w:pos="993"/>
        </w:tabs>
        <w:suppressAutoHyphens/>
        <w:ind w:left="0" w:firstLine="709"/>
        <w:jc w:val="both"/>
      </w:pPr>
      <w:r w:rsidRPr="0003606D">
        <w:rPr>
          <w:szCs w:val="24"/>
        </w:rPr>
        <w:t xml:space="preserve">Jurbarko r. </w:t>
      </w:r>
      <w:r w:rsidR="00C65F5E">
        <w:rPr>
          <w:szCs w:val="24"/>
        </w:rPr>
        <w:t xml:space="preserve">Klausučių Stasio </w:t>
      </w:r>
      <w:proofErr w:type="spellStart"/>
      <w:r w:rsidR="00C65F5E">
        <w:rPr>
          <w:szCs w:val="24"/>
        </w:rPr>
        <w:t>Santvaro</w:t>
      </w:r>
      <w:proofErr w:type="spellEnd"/>
      <w:r w:rsidR="00C65F5E">
        <w:rPr>
          <w:szCs w:val="24"/>
        </w:rPr>
        <w:t xml:space="preserve"> pagrindinės mokyklos</w:t>
      </w:r>
      <w:r w:rsidR="00C65F5E" w:rsidRPr="0003606D">
        <w:rPr>
          <w:szCs w:val="24"/>
        </w:rPr>
        <w:t xml:space="preserve"> </w:t>
      </w:r>
      <w:r w:rsidR="006854E0" w:rsidRPr="0009078D">
        <w:rPr>
          <w:szCs w:val="24"/>
        </w:rPr>
        <w:t xml:space="preserve">2023 metų </w:t>
      </w:r>
      <w:r w:rsidRPr="0009078D">
        <w:rPr>
          <w:szCs w:val="24"/>
        </w:rPr>
        <w:t>biudžeto vykdymo ataskaitų rinkin</w:t>
      </w:r>
      <w:r>
        <w:rPr>
          <w:szCs w:val="24"/>
        </w:rPr>
        <w:t>į</w:t>
      </w:r>
      <w:r w:rsidRPr="0009078D">
        <w:rPr>
          <w:szCs w:val="24"/>
        </w:rPr>
        <w:t xml:space="preserve"> (pridedama).</w:t>
      </w:r>
    </w:p>
    <w:p w14:paraId="5D0573BA" w14:textId="77777777" w:rsidR="00A00DC2" w:rsidRDefault="00A00DC2" w:rsidP="00A00DC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35A14E" w14:textId="77777777" w:rsidR="00FC1CD3" w:rsidRDefault="00FC1CD3">
      <w:pPr>
        <w:jc w:val="both"/>
      </w:pPr>
    </w:p>
    <w:p w14:paraId="6579F50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F1DB66A" w14:textId="77777777">
        <w:trPr>
          <w:trHeight w:val="180"/>
        </w:trPr>
        <w:tc>
          <w:tcPr>
            <w:tcW w:w="4410" w:type="dxa"/>
          </w:tcPr>
          <w:p w14:paraId="12BA7A52" w14:textId="77777777" w:rsidR="00FC1CD3" w:rsidRDefault="00F4316F">
            <w:r>
              <w:t>Savivaldybės meras</w:t>
            </w:r>
          </w:p>
        </w:tc>
        <w:tc>
          <w:tcPr>
            <w:tcW w:w="4410" w:type="dxa"/>
          </w:tcPr>
          <w:p w14:paraId="16F34EAB" w14:textId="77777777" w:rsidR="00FC1CD3" w:rsidRDefault="00FC1CD3">
            <w:pPr>
              <w:jc w:val="right"/>
            </w:pPr>
          </w:p>
        </w:tc>
      </w:tr>
    </w:tbl>
    <w:p w14:paraId="01EBAE25" w14:textId="77777777" w:rsidR="00FC1CD3" w:rsidRDefault="00FC1CD3"/>
    <w:p w14:paraId="4984664E" w14:textId="77777777" w:rsidR="00FC1CD3" w:rsidRDefault="00FC1CD3"/>
    <w:p w14:paraId="7755A643" w14:textId="77777777" w:rsidR="00C65F5E" w:rsidRDefault="00C65F5E" w:rsidP="00C65F5E">
      <w:r>
        <w:t xml:space="preserve">Vizos: </w:t>
      </w:r>
    </w:p>
    <w:p w14:paraId="2BD846B6" w14:textId="77777777" w:rsidR="00C65F5E" w:rsidRDefault="00C65F5E" w:rsidP="00C65F5E">
      <w:r>
        <w:t xml:space="preserve">Administracijos direktorė R. </w:t>
      </w:r>
      <w:proofErr w:type="spellStart"/>
      <w:r>
        <w:t>Vančienė</w:t>
      </w:r>
      <w:proofErr w:type="spellEnd"/>
    </w:p>
    <w:p w14:paraId="231D7D06" w14:textId="77777777" w:rsidR="00C65F5E" w:rsidRDefault="00C65F5E" w:rsidP="00C65F5E">
      <w:r>
        <w:t xml:space="preserve">Teisės ir civilinės metrikacijos skyriaus vedėja O. </w:t>
      </w:r>
      <w:proofErr w:type="spellStart"/>
      <w:r>
        <w:t>Sutkaitienė</w:t>
      </w:r>
      <w:proofErr w:type="spellEnd"/>
      <w:r>
        <w:t xml:space="preserve"> </w:t>
      </w:r>
    </w:p>
    <w:p w14:paraId="3D521EE7" w14:textId="77777777" w:rsidR="00C65F5E" w:rsidRDefault="00C65F5E" w:rsidP="00C65F5E">
      <w:r>
        <w:t>Tarybos posėdžių sekretorė D. Dačkauskaitė</w:t>
      </w:r>
    </w:p>
    <w:p w14:paraId="127867F3" w14:textId="77777777" w:rsidR="00C65F5E" w:rsidRDefault="00C65F5E" w:rsidP="00C65F5E">
      <w:r>
        <w:t>Dokumentų ir viešųjų ryšių skyriaus vyr. specialistas A. Gvildys</w:t>
      </w:r>
    </w:p>
    <w:p w14:paraId="30389B90" w14:textId="77777777" w:rsidR="00C65F5E" w:rsidRDefault="00C65F5E" w:rsidP="00C65F5E">
      <w:r>
        <w:t>Finansų skyriaus vedėja A. Stoškienė</w:t>
      </w:r>
    </w:p>
    <w:p w14:paraId="06B4A554" w14:textId="77777777" w:rsidR="00C65F5E" w:rsidRDefault="00C65F5E" w:rsidP="00C65F5E">
      <w:r>
        <w:t xml:space="preserve">Švietimo, kultūros ir sporto skyriaus vedėja A. </w:t>
      </w:r>
      <w:proofErr w:type="spellStart"/>
      <w:r>
        <w:t>Baliukynaitė</w:t>
      </w:r>
      <w:proofErr w:type="spellEnd"/>
    </w:p>
    <w:p w14:paraId="5B373BF7" w14:textId="77777777" w:rsidR="00F320CA" w:rsidRDefault="00F320CA"/>
    <w:p w14:paraId="71045243" w14:textId="77777777" w:rsidR="00F27C80" w:rsidRDefault="00F27C80"/>
    <w:p w14:paraId="4DD4C4E2" w14:textId="77777777" w:rsidR="00F320CA" w:rsidRDefault="00F320CA" w:rsidP="00F320CA">
      <w:r>
        <w:t>Parengė</w:t>
      </w:r>
    </w:p>
    <w:bookmarkStart w:id="1" w:name="CREATOR_SHOWS"/>
    <w:p w14:paraId="7691E558" w14:textId="77777777" w:rsidR="00B3497C" w:rsidRDefault="00DE4B2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5618599A" w14:textId="77777777" w:rsidR="00422C32" w:rsidRDefault="00DE4B23" w:rsidP="00107C26">
      <w:pPr>
        <w:pStyle w:val="Antrats"/>
        <w:tabs>
          <w:tab w:val="clear" w:pos="4153"/>
          <w:tab w:val="clear" w:pos="8306"/>
        </w:tabs>
        <w:sectPr w:rsidR="00422C32" w:rsidSect="007F77EC">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tbl>
      <w:tblPr>
        <w:tblW w:w="0" w:type="auto"/>
        <w:tblLook w:val="04A0" w:firstRow="1" w:lastRow="0" w:firstColumn="1" w:lastColumn="0" w:noHBand="0" w:noVBand="1"/>
      </w:tblPr>
      <w:tblGrid>
        <w:gridCol w:w="14570"/>
      </w:tblGrid>
      <w:tr w:rsidR="00422C32" w:rsidRPr="0003606D" w14:paraId="48C84D34" w14:textId="77777777" w:rsidTr="00290330">
        <w:tc>
          <w:tcPr>
            <w:tcW w:w="14570" w:type="dxa"/>
            <w:shd w:val="clear" w:color="auto" w:fill="auto"/>
          </w:tcPr>
          <w:p w14:paraId="7F3253DD" w14:textId="77777777" w:rsidR="00422C32" w:rsidRPr="0003606D" w:rsidRDefault="00422C32" w:rsidP="00290330">
            <w:pPr>
              <w:pStyle w:val="Pavadinimas"/>
              <w:ind w:firstLine="9668"/>
              <w:jc w:val="left"/>
              <w:rPr>
                <w:b w:val="0"/>
                <w:bCs w:val="0"/>
                <w:lang w:val="lt-LT"/>
              </w:rPr>
            </w:pPr>
            <w:r>
              <w:rPr>
                <w:b w:val="0"/>
                <w:bCs w:val="0"/>
                <w:lang w:val="lt-LT"/>
              </w:rPr>
              <w:lastRenderedPageBreak/>
              <w:t>PATVIRTINTA</w:t>
            </w:r>
          </w:p>
        </w:tc>
      </w:tr>
      <w:tr w:rsidR="00422C32" w:rsidRPr="0003606D" w14:paraId="7DFDBF7F" w14:textId="77777777" w:rsidTr="00290330">
        <w:tc>
          <w:tcPr>
            <w:tcW w:w="14570" w:type="dxa"/>
            <w:shd w:val="clear" w:color="auto" w:fill="auto"/>
          </w:tcPr>
          <w:p w14:paraId="4746B0E9" w14:textId="77777777" w:rsidR="00422C32" w:rsidRPr="0003606D" w:rsidRDefault="00422C32" w:rsidP="00290330">
            <w:pPr>
              <w:pStyle w:val="Pavadinimas"/>
              <w:ind w:firstLine="9668"/>
              <w:jc w:val="left"/>
              <w:rPr>
                <w:b w:val="0"/>
                <w:bCs w:val="0"/>
                <w:lang w:val="lt-LT"/>
              </w:rPr>
            </w:pPr>
            <w:r w:rsidRPr="0003606D">
              <w:rPr>
                <w:b w:val="0"/>
                <w:bCs w:val="0"/>
                <w:lang w:val="lt-LT"/>
              </w:rPr>
              <w:t>Jurbarko rajono savivaldybės tarybos</w:t>
            </w:r>
          </w:p>
        </w:tc>
      </w:tr>
      <w:tr w:rsidR="00422C32" w:rsidRPr="0003606D" w14:paraId="77399C3C" w14:textId="77777777" w:rsidTr="00290330">
        <w:tc>
          <w:tcPr>
            <w:tcW w:w="14570" w:type="dxa"/>
            <w:shd w:val="clear" w:color="auto" w:fill="auto"/>
          </w:tcPr>
          <w:p w14:paraId="0AA857B6" w14:textId="77777777" w:rsidR="00422C32" w:rsidRPr="0003606D" w:rsidRDefault="00422C32" w:rsidP="00290330">
            <w:pPr>
              <w:pStyle w:val="Pavadinimas"/>
              <w:ind w:firstLine="9668"/>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782B8FB2" w14:textId="77777777" w:rsidR="00422C32" w:rsidRPr="00CA31BC" w:rsidRDefault="00422C32" w:rsidP="00422C32">
      <w:pPr>
        <w:pStyle w:val="Antrats"/>
        <w:tabs>
          <w:tab w:val="clear" w:pos="4153"/>
          <w:tab w:val="clear" w:pos="8306"/>
        </w:tabs>
      </w:pPr>
    </w:p>
    <w:tbl>
      <w:tblPr>
        <w:tblW w:w="8505" w:type="dxa"/>
        <w:jc w:val="center"/>
        <w:tblLook w:val="04A0" w:firstRow="1" w:lastRow="0" w:firstColumn="1" w:lastColumn="0" w:noHBand="0" w:noVBand="1"/>
      </w:tblPr>
      <w:tblGrid>
        <w:gridCol w:w="8505"/>
      </w:tblGrid>
      <w:tr w:rsidR="00CE69FB" w:rsidRPr="004B7100" w14:paraId="1013D754" w14:textId="77777777">
        <w:trPr>
          <w:jc w:val="center"/>
        </w:trPr>
        <w:tc>
          <w:tcPr>
            <w:tcW w:w="8505" w:type="dxa"/>
            <w:tcBorders>
              <w:bottom w:val="single" w:sz="4" w:space="0" w:color="auto"/>
            </w:tcBorders>
            <w:shd w:val="clear" w:color="auto" w:fill="auto"/>
          </w:tcPr>
          <w:p w14:paraId="3A34A111" w14:textId="77777777" w:rsidR="00422C32" w:rsidRDefault="00422C32">
            <w:pPr>
              <w:overflowPunct w:val="0"/>
              <w:jc w:val="center"/>
              <w:textAlignment w:val="baseline"/>
              <w:rPr>
                <w:b/>
                <w:szCs w:val="24"/>
              </w:rPr>
            </w:pPr>
            <w:r>
              <w:rPr>
                <w:b/>
                <w:szCs w:val="24"/>
              </w:rPr>
              <w:t>KLAUSUČIŲ STASIO SANTVARO PAGRINDINĖ MOKYKLA</w:t>
            </w:r>
          </w:p>
        </w:tc>
      </w:tr>
      <w:tr w:rsidR="00CE69FB" w:rsidRPr="004B7100" w14:paraId="651F3812" w14:textId="77777777">
        <w:trPr>
          <w:jc w:val="center"/>
        </w:trPr>
        <w:tc>
          <w:tcPr>
            <w:tcW w:w="8505" w:type="dxa"/>
            <w:tcBorders>
              <w:top w:val="single" w:sz="4" w:space="0" w:color="auto"/>
            </w:tcBorders>
            <w:shd w:val="clear" w:color="auto" w:fill="auto"/>
          </w:tcPr>
          <w:p w14:paraId="6438764C" w14:textId="77777777" w:rsidR="00422C32" w:rsidRDefault="00422C32">
            <w:pPr>
              <w:overflowPunct w:val="0"/>
              <w:jc w:val="center"/>
              <w:textAlignment w:val="baseline"/>
              <w:rPr>
                <w:bCs/>
                <w:sz w:val="16"/>
                <w:szCs w:val="16"/>
              </w:rPr>
            </w:pPr>
            <w:r>
              <w:rPr>
                <w:bCs/>
                <w:sz w:val="16"/>
                <w:szCs w:val="16"/>
              </w:rPr>
              <w:t>(įstaigos pavadinimas)</w:t>
            </w:r>
          </w:p>
        </w:tc>
      </w:tr>
      <w:tr w:rsidR="00CE69FB" w:rsidRPr="004B7100" w14:paraId="79640366" w14:textId="77777777">
        <w:trPr>
          <w:jc w:val="center"/>
        </w:trPr>
        <w:tc>
          <w:tcPr>
            <w:tcW w:w="8505" w:type="dxa"/>
            <w:tcBorders>
              <w:bottom w:val="single" w:sz="4" w:space="0" w:color="auto"/>
            </w:tcBorders>
            <w:shd w:val="clear" w:color="auto" w:fill="auto"/>
          </w:tcPr>
          <w:p w14:paraId="79B6EB0B" w14:textId="77777777" w:rsidR="00422C32" w:rsidRDefault="00422C32">
            <w:pPr>
              <w:jc w:val="center"/>
              <w:rPr>
                <w:b/>
                <w:szCs w:val="24"/>
              </w:rPr>
            </w:pPr>
            <w:r>
              <w:rPr>
                <w:b/>
                <w:szCs w:val="24"/>
              </w:rPr>
              <w:t>2023 METŲ VEIKLOS ATASKA</w:t>
            </w:r>
            <w:r w:rsidR="005D0566">
              <w:rPr>
                <w:b/>
                <w:szCs w:val="24"/>
              </w:rPr>
              <w:t>ITA</w:t>
            </w:r>
          </w:p>
        </w:tc>
      </w:tr>
      <w:tr w:rsidR="00CE69FB" w:rsidRPr="004B7100" w14:paraId="06A93B7E" w14:textId="77777777">
        <w:trPr>
          <w:jc w:val="center"/>
        </w:trPr>
        <w:tc>
          <w:tcPr>
            <w:tcW w:w="8505" w:type="dxa"/>
            <w:tcBorders>
              <w:top w:val="single" w:sz="4" w:space="0" w:color="auto"/>
            </w:tcBorders>
            <w:shd w:val="clear" w:color="auto" w:fill="auto"/>
          </w:tcPr>
          <w:p w14:paraId="0CE34A62" w14:textId="77777777" w:rsidR="00422C32" w:rsidRDefault="00422C32">
            <w:pPr>
              <w:jc w:val="center"/>
              <w:rPr>
                <w:bCs/>
                <w:szCs w:val="24"/>
              </w:rPr>
            </w:pPr>
            <w:r>
              <w:rPr>
                <w:bCs/>
                <w:szCs w:val="24"/>
              </w:rPr>
              <w:t>2024-04-10 Nr. 1</w:t>
            </w:r>
          </w:p>
        </w:tc>
      </w:tr>
      <w:tr w:rsidR="00CE69FB" w:rsidRPr="004B7100" w14:paraId="53729B92" w14:textId="77777777">
        <w:trPr>
          <w:jc w:val="center"/>
        </w:trPr>
        <w:tc>
          <w:tcPr>
            <w:tcW w:w="8505" w:type="dxa"/>
            <w:shd w:val="clear" w:color="auto" w:fill="auto"/>
          </w:tcPr>
          <w:p w14:paraId="255BF27E" w14:textId="77777777" w:rsidR="00422C32" w:rsidRDefault="00422C32">
            <w:pPr>
              <w:jc w:val="center"/>
              <w:rPr>
                <w:bCs/>
                <w:szCs w:val="24"/>
              </w:rPr>
            </w:pPr>
            <w:r>
              <w:rPr>
                <w:bCs/>
                <w:szCs w:val="24"/>
              </w:rPr>
              <w:t>Klausučiai</w:t>
            </w:r>
          </w:p>
        </w:tc>
      </w:tr>
    </w:tbl>
    <w:p w14:paraId="6EC71B09" w14:textId="77777777" w:rsidR="00422C32" w:rsidRDefault="00422C32" w:rsidP="00422C32">
      <w:pPr>
        <w:rPr>
          <w:szCs w:val="24"/>
        </w:rPr>
      </w:pPr>
    </w:p>
    <w:p w14:paraId="676510CB" w14:textId="77777777" w:rsidR="00422C32" w:rsidRPr="002B4D39" w:rsidRDefault="00422C32" w:rsidP="00422C32">
      <w:pPr>
        <w:suppressAutoHyphens/>
        <w:spacing w:line="276" w:lineRule="auto"/>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422C32" w:rsidRPr="00CA31BC" w14:paraId="188A6F54" w14:textId="77777777" w:rsidTr="00290330">
        <w:trPr>
          <w:trHeight w:val="470"/>
        </w:trPr>
        <w:tc>
          <w:tcPr>
            <w:tcW w:w="14459" w:type="dxa"/>
            <w:tcMar>
              <w:top w:w="170" w:type="dxa"/>
              <w:left w:w="170" w:type="dxa"/>
              <w:bottom w:w="170" w:type="dxa"/>
              <w:right w:w="170" w:type="dxa"/>
            </w:tcMar>
          </w:tcPr>
          <w:p w14:paraId="2B422493" w14:textId="77777777" w:rsidR="00422C32" w:rsidRPr="00CA31BC" w:rsidRDefault="00422C32" w:rsidP="00290330">
            <w:pPr>
              <w:ind w:left="720"/>
              <w:rPr>
                <w:rFonts w:eastAsia="Calibri"/>
                <w:b/>
                <w:szCs w:val="24"/>
                <w:lang w:eastAsia="en-US"/>
              </w:rPr>
            </w:pPr>
            <w:r>
              <w:rPr>
                <w:rFonts w:eastAsia="Calibri"/>
                <w:szCs w:val="24"/>
                <w:lang w:eastAsia="en-US"/>
              </w:rPr>
              <w:t>Įstaigos</w:t>
            </w:r>
            <w:r w:rsidRPr="00CA31BC">
              <w:rPr>
                <w:rFonts w:eastAsia="Calibri"/>
                <w:szCs w:val="24"/>
                <w:lang w:eastAsia="en-US"/>
              </w:rPr>
              <w:t xml:space="preserve"> direktor</w:t>
            </w:r>
            <w:r>
              <w:rPr>
                <w:rFonts w:eastAsia="Calibri"/>
                <w:szCs w:val="24"/>
                <w:lang w:eastAsia="en-US"/>
              </w:rPr>
              <w:t>ius</w:t>
            </w:r>
            <w:r w:rsidRPr="00CA31BC">
              <w:rPr>
                <w:rFonts w:eastAsia="Calibri"/>
                <w:szCs w:val="24"/>
                <w:lang w:eastAsia="en-US"/>
              </w:rPr>
              <w:t xml:space="preserve"> –</w:t>
            </w:r>
            <w:r>
              <w:rPr>
                <w:rFonts w:eastAsia="Calibri"/>
                <w:szCs w:val="24"/>
                <w:lang w:eastAsia="en-US"/>
              </w:rPr>
              <w:t xml:space="preserve"> Michailas </w:t>
            </w:r>
            <w:proofErr w:type="spellStart"/>
            <w:r>
              <w:rPr>
                <w:rFonts w:eastAsia="Calibri"/>
                <w:szCs w:val="24"/>
                <w:lang w:eastAsia="en-US"/>
              </w:rPr>
              <w:t>Astašenkovas</w:t>
            </w:r>
            <w:proofErr w:type="spellEnd"/>
            <w:r>
              <w:rPr>
                <w:rFonts w:eastAsia="Calibri"/>
                <w:szCs w:val="24"/>
                <w:lang w:eastAsia="en-US"/>
              </w:rPr>
              <w:t>.</w:t>
            </w:r>
          </w:p>
          <w:p w14:paraId="2381D34D" w14:textId="77777777" w:rsidR="00422C32" w:rsidRDefault="00422C32" w:rsidP="00290330">
            <w:pPr>
              <w:ind w:firstLine="720"/>
              <w:rPr>
                <w:rFonts w:eastAsia="Calibri"/>
                <w:szCs w:val="24"/>
                <w:lang w:eastAsia="en-US"/>
              </w:rPr>
            </w:pPr>
            <w:r>
              <w:rPr>
                <w:rFonts w:eastAsia="Calibri"/>
                <w:szCs w:val="24"/>
                <w:lang w:eastAsia="en-US"/>
              </w:rPr>
              <w:t>T</w:t>
            </w:r>
            <w:r w:rsidRPr="00CA31BC">
              <w:rPr>
                <w:rFonts w:eastAsia="Calibri"/>
                <w:szCs w:val="24"/>
                <w:lang w:eastAsia="en-US"/>
              </w:rPr>
              <w:t xml:space="preserve">arybos pirmininkė – </w:t>
            </w:r>
            <w:r>
              <w:rPr>
                <w:rFonts w:eastAsia="Calibri"/>
                <w:szCs w:val="24"/>
                <w:lang w:eastAsia="en-US"/>
              </w:rPr>
              <w:t xml:space="preserve">Jurgita </w:t>
            </w:r>
            <w:proofErr w:type="spellStart"/>
            <w:r>
              <w:rPr>
                <w:rFonts w:eastAsia="Calibri"/>
                <w:szCs w:val="24"/>
                <w:lang w:eastAsia="en-US"/>
              </w:rPr>
              <w:t>Šimanskienė</w:t>
            </w:r>
            <w:proofErr w:type="spellEnd"/>
            <w:r>
              <w:rPr>
                <w:rFonts w:eastAsia="Calibri"/>
                <w:szCs w:val="24"/>
                <w:lang w:eastAsia="en-US"/>
              </w:rPr>
              <w:t>.</w:t>
            </w:r>
          </w:p>
          <w:p w14:paraId="4693F7C8" w14:textId="77777777" w:rsidR="00422C32" w:rsidRPr="00CA31BC" w:rsidRDefault="00422C32" w:rsidP="00290330">
            <w:pPr>
              <w:ind w:firstLine="720"/>
              <w:rPr>
                <w:rFonts w:eastAsia="Calibri"/>
                <w:szCs w:val="24"/>
                <w:lang w:eastAsia="en-US"/>
              </w:rPr>
            </w:pPr>
            <w:r w:rsidRPr="00CA31BC">
              <w:rPr>
                <w:rFonts w:eastAsia="Calibri"/>
                <w:szCs w:val="24"/>
                <w:lang w:eastAsia="en-US"/>
              </w:rPr>
              <w:t xml:space="preserve">Pagrindinė </w:t>
            </w:r>
            <w:r>
              <w:rPr>
                <w:rFonts w:eastAsia="Calibri"/>
                <w:szCs w:val="24"/>
                <w:lang w:eastAsia="en-US"/>
              </w:rPr>
              <w:t>įstaigos</w:t>
            </w:r>
            <w:r w:rsidRPr="00CA31BC">
              <w:rPr>
                <w:rFonts w:eastAsia="Calibri"/>
                <w:szCs w:val="24"/>
                <w:lang w:eastAsia="en-US"/>
              </w:rPr>
              <w:t xml:space="preserve"> veiklos rūšis – </w:t>
            </w:r>
            <w:r>
              <w:rPr>
                <w:rFonts w:eastAsia="Calibri"/>
                <w:szCs w:val="24"/>
                <w:lang w:eastAsia="en-US"/>
              </w:rPr>
              <w:t>pagrindinis ugdymas.</w:t>
            </w:r>
          </w:p>
          <w:p w14:paraId="35958016" w14:textId="77777777" w:rsidR="00422C32" w:rsidRPr="00CA31BC" w:rsidRDefault="00422C32" w:rsidP="00290330">
            <w:pPr>
              <w:ind w:firstLine="720"/>
              <w:rPr>
                <w:szCs w:val="24"/>
                <w:lang w:eastAsia="en-US"/>
              </w:rPr>
            </w:pPr>
            <w:r w:rsidRPr="00CA31BC">
              <w:rPr>
                <w:szCs w:val="24"/>
                <w:lang w:eastAsia="en-US"/>
              </w:rPr>
              <w:t xml:space="preserve">Kitos </w:t>
            </w:r>
            <w:r>
              <w:rPr>
                <w:szCs w:val="24"/>
                <w:lang w:eastAsia="en-US"/>
              </w:rPr>
              <w:t>įstaigos</w:t>
            </w:r>
            <w:r w:rsidRPr="00CA31BC">
              <w:rPr>
                <w:szCs w:val="24"/>
                <w:lang w:eastAsia="en-US"/>
              </w:rPr>
              <w:t xml:space="preserve"> veiklos rūšys – </w:t>
            </w:r>
            <w:r>
              <w:rPr>
                <w:szCs w:val="24"/>
                <w:lang w:eastAsia="en-US"/>
              </w:rPr>
              <w:t>ikimokyklinis ugdymas, priešmokyklinis ugdymas, pradinis ugdymas, neformalus vaikų švietimas.</w:t>
            </w:r>
          </w:p>
          <w:p w14:paraId="435F89F5" w14:textId="77777777" w:rsidR="00422C32" w:rsidRDefault="00422C32" w:rsidP="00290330">
            <w:pPr>
              <w:tabs>
                <w:tab w:val="left" w:pos="992"/>
              </w:tabs>
              <w:ind w:firstLine="709"/>
              <w:jc w:val="both"/>
              <w:rPr>
                <w:color w:val="000000"/>
                <w:szCs w:val="24"/>
              </w:rPr>
            </w:pPr>
          </w:p>
          <w:p w14:paraId="433C5E29" w14:textId="77777777" w:rsidR="00422C32" w:rsidRDefault="00422C32" w:rsidP="00290330">
            <w:pPr>
              <w:ind w:firstLine="567"/>
              <w:jc w:val="both"/>
              <w:rPr>
                <w:szCs w:val="24"/>
              </w:rPr>
            </w:pPr>
            <w:r>
              <w:rPr>
                <w:szCs w:val="24"/>
              </w:rPr>
              <w:t>2022–2023 mokslo metais</w:t>
            </w:r>
            <w:r w:rsidR="00C65F5E">
              <w:rPr>
                <w:szCs w:val="24"/>
              </w:rPr>
              <w:t>,</w:t>
            </w:r>
            <w:r>
              <w:rPr>
                <w:szCs w:val="24"/>
              </w:rPr>
              <w:t xml:space="preserve"> įgyvendin</w:t>
            </w:r>
            <w:r w:rsidR="00C65F5E">
              <w:rPr>
                <w:szCs w:val="24"/>
              </w:rPr>
              <w:t>ant</w:t>
            </w:r>
            <w:r>
              <w:rPr>
                <w:szCs w:val="24"/>
              </w:rPr>
              <w:t xml:space="preserve"> pagrindinį mokyklos tikslą </w:t>
            </w:r>
            <w:r w:rsidR="00600799">
              <w:rPr>
                <w:szCs w:val="24"/>
              </w:rPr>
              <w:t>„</w:t>
            </w:r>
            <w:r>
              <w:rPr>
                <w:szCs w:val="24"/>
              </w:rPr>
              <w:t>Efektyvus ugdymo proceso tobulinimas“, daug dėmesio sk</w:t>
            </w:r>
            <w:r w:rsidR="00C65F5E">
              <w:rPr>
                <w:szCs w:val="24"/>
              </w:rPr>
              <w:t>irta</w:t>
            </w:r>
            <w:r>
              <w:rPr>
                <w:szCs w:val="24"/>
              </w:rPr>
              <w:t xml:space="preserve"> sistemingos ir veiksmingos švietimo pagalbos teikimui kiekvienam vaikui</w:t>
            </w:r>
            <w:r w:rsidR="00C65F5E">
              <w:rPr>
                <w:szCs w:val="24"/>
              </w:rPr>
              <w:t>.</w:t>
            </w:r>
            <w:r w:rsidRPr="004C49EB">
              <w:rPr>
                <w:szCs w:val="24"/>
              </w:rPr>
              <w:t xml:space="preserve"> </w:t>
            </w:r>
            <w:r w:rsidR="00C65F5E">
              <w:rPr>
                <w:szCs w:val="24"/>
              </w:rPr>
              <w:t>Bendradarbiavo</w:t>
            </w:r>
            <w:r w:rsidRPr="004C49EB">
              <w:rPr>
                <w:szCs w:val="24"/>
              </w:rPr>
              <w:t xml:space="preserve"> mokytojai, pagalbos mokiniui specialistai, mokytojų padėjėjai, VGK. Nuo mokslo metų pradžios mokykloje mokomi</w:t>
            </w:r>
            <w:r w:rsidR="00C65F5E">
              <w:rPr>
                <w:szCs w:val="24"/>
              </w:rPr>
              <w:t xml:space="preserve"> </w:t>
            </w:r>
            <w:r w:rsidRPr="004C49EB">
              <w:rPr>
                <w:szCs w:val="24"/>
              </w:rPr>
              <w:t>/</w:t>
            </w:r>
            <w:r w:rsidR="00C65F5E">
              <w:rPr>
                <w:szCs w:val="24"/>
              </w:rPr>
              <w:t xml:space="preserve"> </w:t>
            </w:r>
            <w:r w:rsidRPr="004C49EB">
              <w:rPr>
                <w:szCs w:val="24"/>
              </w:rPr>
              <w:t>ugdomi 10 specialiųjų ugdymosi poreikių turintys mokiniai</w:t>
            </w:r>
            <w:r w:rsidR="00C65F5E">
              <w:rPr>
                <w:szCs w:val="24"/>
              </w:rPr>
              <w:t xml:space="preserve"> </w:t>
            </w:r>
            <w:r w:rsidRPr="004C49EB">
              <w:rPr>
                <w:szCs w:val="24"/>
              </w:rPr>
              <w:t>/</w:t>
            </w:r>
            <w:r w:rsidR="00C65F5E">
              <w:rPr>
                <w:szCs w:val="24"/>
              </w:rPr>
              <w:t xml:space="preserve"> </w:t>
            </w:r>
            <w:r w:rsidRPr="004C49EB">
              <w:rPr>
                <w:szCs w:val="24"/>
              </w:rPr>
              <w:t>ugdytiniai. Pagal Jurbarko ŠC PPT rekomendacijas atliktas 3 mokinių specialiųjų ugdymosi poreikių pakartotinis vertinimas PPT. Nustačius specifinius sutrikimus</w:t>
            </w:r>
            <w:r w:rsidR="00B3132C">
              <w:rPr>
                <w:szCs w:val="24"/>
              </w:rPr>
              <w:t>,</w:t>
            </w:r>
            <w:r w:rsidRPr="004C49EB">
              <w:rPr>
                <w:szCs w:val="24"/>
              </w:rPr>
              <w:t xml:space="preserve"> mokiniai siunčiami specialistų konsultacijo</w:t>
            </w:r>
            <w:r>
              <w:rPr>
                <w:szCs w:val="24"/>
              </w:rPr>
              <w:t>m</w:t>
            </w:r>
            <w:r w:rsidRPr="004C49EB">
              <w:rPr>
                <w:szCs w:val="24"/>
              </w:rPr>
              <w:t>s.</w:t>
            </w:r>
            <w:r>
              <w:rPr>
                <w:szCs w:val="24"/>
              </w:rPr>
              <w:t xml:space="preserve"> Apie</w:t>
            </w:r>
            <w:r w:rsidRPr="004C49EB">
              <w:rPr>
                <w:szCs w:val="24"/>
              </w:rPr>
              <w:t xml:space="preserve"> dvidešimt vaikų gauna logoped</w:t>
            </w:r>
            <w:r w:rsidR="00B3132C">
              <w:rPr>
                <w:szCs w:val="24"/>
              </w:rPr>
              <w:t>o</w:t>
            </w:r>
            <w:r w:rsidRPr="004C49EB">
              <w:rPr>
                <w:szCs w:val="24"/>
              </w:rPr>
              <w:t xml:space="preserve"> pagalbą. Kasdienis socialinės pedagog</w:t>
            </w:r>
            <w:r w:rsidR="00B3132C">
              <w:rPr>
                <w:szCs w:val="24"/>
              </w:rPr>
              <w:t>o</w:t>
            </w:r>
            <w:r w:rsidR="00B96F74">
              <w:rPr>
                <w:szCs w:val="24"/>
              </w:rPr>
              <w:t>-</w:t>
            </w:r>
            <w:r w:rsidRPr="004C49EB">
              <w:rPr>
                <w:szCs w:val="24"/>
              </w:rPr>
              <w:t>psicholog</w:t>
            </w:r>
            <w:r w:rsidR="00B3132C">
              <w:rPr>
                <w:szCs w:val="24"/>
              </w:rPr>
              <w:t>o</w:t>
            </w:r>
            <w:r w:rsidRPr="004C49EB">
              <w:rPr>
                <w:szCs w:val="24"/>
              </w:rPr>
              <w:t xml:space="preserve"> darbas padeda išsiaiškinti kylančias problemas, nesutarimus tarp mokinių, mokinių ir mokytojų. Į konfliktų, nestandartinių situacijų sprendimą dažnai pasitelkiami tėvai. Mokykla ir VGK nepaliekama nuošalyje net kai konfliktai vyksta ne mokykloje ir ne pamokų metu. Dalyva</w:t>
            </w:r>
            <w:r w:rsidR="00B3132C">
              <w:rPr>
                <w:szCs w:val="24"/>
              </w:rPr>
              <w:t>uta</w:t>
            </w:r>
            <w:r w:rsidRPr="004C49EB">
              <w:rPr>
                <w:szCs w:val="24"/>
              </w:rPr>
              <w:t xml:space="preserve"> dviejuose Jurbarko rajono VGK posėdžiuose dėl tok</w:t>
            </w:r>
            <w:r>
              <w:rPr>
                <w:szCs w:val="24"/>
              </w:rPr>
              <w:t xml:space="preserve">ių </w:t>
            </w:r>
            <w:r w:rsidRPr="004C49EB">
              <w:rPr>
                <w:szCs w:val="24"/>
              </w:rPr>
              <w:t>atve</w:t>
            </w:r>
            <w:r>
              <w:rPr>
                <w:szCs w:val="24"/>
              </w:rPr>
              <w:t>jų.</w:t>
            </w:r>
          </w:p>
          <w:p w14:paraId="7DF522C8" w14:textId="77777777" w:rsidR="00422C32" w:rsidRPr="004C49EB" w:rsidRDefault="00422C32" w:rsidP="00290330">
            <w:pPr>
              <w:ind w:firstLine="567"/>
              <w:jc w:val="both"/>
              <w:rPr>
                <w:szCs w:val="24"/>
              </w:rPr>
            </w:pPr>
            <w:r w:rsidRPr="004C49EB">
              <w:rPr>
                <w:szCs w:val="24"/>
              </w:rPr>
              <w:t>Prasidėjus pasiruošimui vykdyti įtraukųjį ugdymą, labiau dom</w:t>
            </w:r>
            <w:r w:rsidR="00130B54">
              <w:rPr>
                <w:szCs w:val="24"/>
              </w:rPr>
              <w:t>imasi</w:t>
            </w:r>
            <w:r w:rsidRPr="004C49EB">
              <w:rPr>
                <w:szCs w:val="24"/>
              </w:rPr>
              <w:t xml:space="preserve"> ugdymo naujovėmis, patrauklesniais ugdymo metodais, bendravimo ypatumais su įvairius sutrikimus turinčiais vaikais, jų integravimu į bendrą ugdymo procesą. </w:t>
            </w:r>
          </w:p>
          <w:p w14:paraId="40445555" w14:textId="77777777" w:rsidR="00422C32" w:rsidRPr="00380BD8" w:rsidRDefault="00422C32" w:rsidP="00290330">
            <w:pPr>
              <w:ind w:firstLine="567"/>
              <w:jc w:val="both"/>
              <w:rPr>
                <w:szCs w:val="24"/>
              </w:rPr>
            </w:pPr>
            <w:r w:rsidRPr="004C49EB">
              <w:rPr>
                <w:szCs w:val="24"/>
              </w:rPr>
              <w:t>Nors pagalba mokiniams yra teikiama, bet vis dar pasitaiko atvejų</w:t>
            </w:r>
            <w:r>
              <w:rPr>
                <w:szCs w:val="24"/>
              </w:rPr>
              <w:t xml:space="preserve">, </w:t>
            </w:r>
            <w:r w:rsidRPr="004C49EB">
              <w:rPr>
                <w:szCs w:val="24"/>
              </w:rPr>
              <w:t>kai mokyklos ir tėvų nuomonės išsiskiria. Akivaizdžiai matomos mokinio sėkmingo ugdymosi problemos, bet tėvai nesutinka įvertinti vaiko specialiuosius ugdymosi poreikius, pats mokinys atsisako pagalbos, vis dar nepopuliarios konsultacijos mokymosi spragų pašalinimui.</w:t>
            </w:r>
          </w:p>
        </w:tc>
      </w:tr>
    </w:tbl>
    <w:p w14:paraId="11DDAE01" w14:textId="77777777" w:rsidR="00422C32" w:rsidRPr="00CA31BC" w:rsidRDefault="00422C32" w:rsidP="00422C32">
      <w:pPr>
        <w:rPr>
          <w:szCs w:val="24"/>
          <w:lang w:eastAsia="en-US"/>
        </w:rPr>
      </w:pPr>
    </w:p>
    <w:p w14:paraId="00691098" w14:textId="77777777" w:rsidR="00422C32" w:rsidRPr="00CA31BC" w:rsidRDefault="00422C32" w:rsidP="00422C32">
      <w:pPr>
        <w:suppressAutoHyphens/>
        <w:jc w:val="center"/>
        <w:textAlignment w:val="baseline"/>
        <w:rPr>
          <w:b/>
          <w:bCs/>
          <w:szCs w:val="24"/>
        </w:rPr>
      </w:pPr>
      <w:r>
        <w:rPr>
          <w:b/>
          <w:szCs w:val="24"/>
        </w:rPr>
        <w:br w:type="page"/>
      </w:r>
      <w:r w:rsidRPr="00CA31BC">
        <w:rPr>
          <w:b/>
          <w:bCs/>
          <w:szCs w:val="24"/>
        </w:rPr>
        <w:lastRenderedPageBreak/>
        <w:t>I SKYRIUS</w:t>
      </w:r>
    </w:p>
    <w:p w14:paraId="59AE3B7C" w14:textId="77777777" w:rsidR="00422C32" w:rsidRPr="00CA31BC" w:rsidRDefault="00422C32" w:rsidP="00422C32">
      <w:pPr>
        <w:spacing w:after="120"/>
        <w:jc w:val="center"/>
        <w:rPr>
          <w:b/>
          <w:bCs/>
          <w:szCs w:val="24"/>
        </w:rPr>
      </w:pPr>
      <w:r>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422C32" w:rsidRPr="00CA31BC" w14:paraId="69B2ECB7" w14:textId="77777777" w:rsidTr="00290330">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0C2CDA98" w14:textId="77777777" w:rsidR="00422C32" w:rsidRPr="004C3008" w:rsidRDefault="00422C32" w:rsidP="00290330">
            <w:pPr>
              <w:rPr>
                <w:szCs w:val="24"/>
                <w:lang w:eastAsia="en-US"/>
              </w:rPr>
            </w:pPr>
            <w:r w:rsidRPr="004C3008">
              <w:rPr>
                <w:szCs w:val="24"/>
                <w:lang w:eastAsia="en-US"/>
              </w:rPr>
              <w:t>Įstaigos veiklos planavimas,</w:t>
            </w:r>
            <w:r w:rsidRPr="004C3008">
              <w:rPr>
                <w:b/>
                <w:bCs/>
                <w:szCs w:val="24"/>
                <w:lang w:eastAsia="en-US"/>
              </w:rPr>
              <w:t xml:space="preserve"> </w:t>
            </w:r>
            <w:r w:rsidRPr="004C3008">
              <w:rPr>
                <w:szCs w:val="24"/>
                <w:lang w:eastAsia="en-US"/>
              </w:rPr>
              <w:t>įgyvendinimas ir tobulinimas</w:t>
            </w:r>
          </w:p>
          <w:p w14:paraId="2FCAB337" w14:textId="77777777" w:rsidR="00422C32" w:rsidRPr="004C3008" w:rsidRDefault="00422C32" w:rsidP="00290330">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E4A0F17" w14:textId="77777777" w:rsidR="00422C32" w:rsidRPr="004C3008" w:rsidRDefault="00422C32" w:rsidP="00290330">
            <w:pPr>
              <w:jc w:val="both"/>
              <w:rPr>
                <w:b/>
                <w:bCs/>
                <w:szCs w:val="24"/>
                <w:lang w:eastAsia="en-US"/>
              </w:rPr>
            </w:pPr>
            <w:r w:rsidRPr="004C3008">
              <w:rPr>
                <w:szCs w:val="24"/>
                <w:lang w:eastAsia="en-US"/>
              </w:rPr>
              <w:t>Įstaigos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4A318B1E" w14:textId="77777777" w:rsidR="00422C32" w:rsidRPr="004C3008" w:rsidRDefault="00422C32" w:rsidP="00290330">
            <w:pPr>
              <w:ind w:firstLine="567"/>
              <w:jc w:val="both"/>
              <w:rPr>
                <w:rFonts w:eastAsia="Calibri"/>
                <w:b/>
                <w:szCs w:val="24"/>
                <w:lang w:eastAsia="en-US"/>
              </w:rPr>
            </w:pPr>
            <w:r w:rsidRPr="004C3008">
              <w:rPr>
                <w:szCs w:val="24"/>
              </w:rPr>
              <w:t xml:space="preserve">Parengtas 2023–2025 metų Jurbarko r. Klausučių Stasio </w:t>
            </w:r>
            <w:proofErr w:type="spellStart"/>
            <w:r w:rsidRPr="004C3008">
              <w:rPr>
                <w:szCs w:val="24"/>
              </w:rPr>
              <w:t>Santvaro</w:t>
            </w:r>
            <w:proofErr w:type="spellEnd"/>
            <w:r w:rsidRPr="004C3008">
              <w:rPr>
                <w:szCs w:val="24"/>
              </w:rPr>
              <w:t xml:space="preserve"> pagrindinės mokyklos strateginis planas, suderintas su Mokyklos taryba 2022-12-29 protokoliniu nutarimu Nr. 5, Jurbarko rajono savivaldybės administracijos Švietimo, kultūros ir sporto skyriumi (2023-03-06 vedėjo įsakymas Nr. ŠS6-78 </w:t>
            </w:r>
            <w:r w:rsidR="00600799">
              <w:rPr>
                <w:szCs w:val="24"/>
              </w:rPr>
              <w:t>„</w:t>
            </w:r>
            <w:r w:rsidRPr="004C3008">
              <w:rPr>
                <w:szCs w:val="24"/>
              </w:rPr>
              <w:t xml:space="preserve">Dėl pritarimo Jurbarko r. Klausučių Stasio </w:t>
            </w:r>
            <w:proofErr w:type="spellStart"/>
            <w:r w:rsidRPr="004C3008">
              <w:rPr>
                <w:szCs w:val="24"/>
              </w:rPr>
              <w:t>Santvaro</w:t>
            </w:r>
            <w:proofErr w:type="spellEnd"/>
            <w:r w:rsidRPr="004C3008">
              <w:rPr>
                <w:szCs w:val="24"/>
              </w:rPr>
              <w:t xml:space="preserve"> pagrindinės mokyklos 2023–2025 metų strateginiam veiklos planui“) ir patvirtintas 2023-03-06 mokyklos direktoriaus įsakymu Nr. V-21 </w:t>
            </w:r>
            <w:r w:rsidR="00600799">
              <w:rPr>
                <w:szCs w:val="24"/>
              </w:rPr>
              <w:t>„</w:t>
            </w:r>
            <w:r w:rsidRPr="004C3008">
              <w:rPr>
                <w:szCs w:val="24"/>
              </w:rPr>
              <w:t>Dėl mokyklos strateginio veiklos plano 2023–2025 metams patvirtinimo“.</w:t>
            </w:r>
          </w:p>
        </w:tc>
      </w:tr>
      <w:tr w:rsidR="00422C32" w:rsidRPr="00CA31BC" w14:paraId="2E2F0A52" w14:textId="77777777" w:rsidTr="00290330">
        <w:trPr>
          <w:gridAfter w:val="1"/>
          <w:wAfter w:w="236" w:type="dxa"/>
          <w:trHeight w:val="92"/>
        </w:trPr>
        <w:tc>
          <w:tcPr>
            <w:tcW w:w="2666" w:type="dxa"/>
            <w:vMerge/>
            <w:tcBorders>
              <w:left w:val="single" w:sz="4" w:space="0" w:color="auto"/>
              <w:right w:val="single" w:sz="4" w:space="0" w:color="auto"/>
            </w:tcBorders>
          </w:tcPr>
          <w:p w14:paraId="10301B20"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08D4AA8" w14:textId="77777777" w:rsidR="00422C32" w:rsidRPr="004C3008" w:rsidRDefault="00422C32" w:rsidP="00290330">
            <w:pPr>
              <w:rPr>
                <w:b/>
                <w:bCs/>
                <w:color w:val="000000"/>
                <w:szCs w:val="24"/>
                <w:lang w:eastAsia="en-US"/>
              </w:rPr>
            </w:pPr>
            <w:r w:rsidRPr="004C3008">
              <w:rPr>
                <w:szCs w:val="24"/>
                <w:lang w:eastAsia="en-US"/>
              </w:rPr>
              <w:t xml:space="preserve">Įstaigos </w:t>
            </w:r>
            <w:r w:rsidRPr="004C3008">
              <w:rPr>
                <w:color w:val="000000"/>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6775D310" w14:textId="77777777" w:rsidR="00422C32" w:rsidRPr="004C3008" w:rsidRDefault="00422C32" w:rsidP="00290330">
            <w:pPr>
              <w:ind w:firstLine="567"/>
              <w:jc w:val="both"/>
              <w:rPr>
                <w:rFonts w:eastAsia="Calibri"/>
                <w:b/>
                <w:szCs w:val="24"/>
                <w:lang w:eastAsia="en-US"/>
              </w:rPr>
            </w:pPr>
            <w:r w:rsidRPr="004C3008">
              <w:rPr>
                <w:szCs w:val="24"/>
              </w:rPr>
              <w:t xml:space="preserve">Parengtas Jurbarko r. Klausučių Stasio </w:t>
            </w:r>
            <w:proofErr w:type="spellStart"/>
            <w:r w:rsidRPr="004C3008">
              <w:rPr>
                <w:szCs w:val="24"/>
              </w:rPr>
              <w:t>Santvaro</w:t>
            </w:r>
            <w:proofErr w:type="spellEnd"/>
            <w:r w:rsidRPr="004C3008">
              <w:rPr>
                <w:szCs w:val="24"/>
              </w:rPr>
              <w:t xml:space="preserve"> pagrindinės mokyklos 2023 m. veiklos planas suderintas su </w:t>
            </w:r>
            <w:r>
              <w:rPr>
                <w:szCs w:val="24"/>
              </w:rPr>
              <w:t>M</w:t>
            </w:r>
            <w:r w:rsidRPr="004C3008">
              <w:rPr>
                <w:szCs w:val="24"/>
              </w:rPr>
              <w:t xml:space="preserve">okyklos taryba 2022-12-06 protokoliniu nutarimu Nr. 5, patvirtintas 2023-01-04 mokyklos direktoriaus įsakymu Nr.V-3 </w:t>
            </w:r>
            <w:r w:rsidR="00600799">
              <w:rPr>
                <w:szCs w:val="24"/>
              </w:rPr>
              <w:t>„</w:t>
            </w:r>
            <w:r w:rsidRPr="004C3008">
              <w:rPr>
                <w:szCs w:val="24"/>
              </w:rPr>
              <w:t>Dėl mokyklos veiklos plano 2023 metams patvirtinimo“.</w:t>
            </w:r>
          </w:p>
        </w:tc>
      </w:tr>
      <w:tr w:rsidR="00422C32" w:rsidRPr="00CA31BC" w14:paraId="2EE29365" w14:textId="77777777" w:rsidTr="00290330">
        <w:trPr>
          <w:gridAfter w:val="1"/>
          <w:wAfter w:w="236" w:type="dxa"/>
          <w:trHeight w:val="992"/>
        </w:trPr>
        <w:tc>
          <w:tcPr>
            <w:tcW w:w="2666" w:type="dxa"/>
            <w:vMerge/>
            <w:tcBorders>
              <w:left w:val="single" w:sz="4" w:space="0" w:color="auto"/>
              <w:right w:val="single" w:sz="4" w:space="0" w:color="auto"/>
            </w:tcBorders>
          </w:tcPr>
          <w:p w14:paraId="5DABA8C7"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right w:val="single" w:sz="4" w:space="0" w:color="auto"/>
            </w:tcBorders>
          </w:tcPr>
          <w:p w14:paraId="1D76D4F4" w14:textId="77777777" w:rsidR="00422C32" w:rsidRPr="004C3008" w:rsidRDefault="00422C32" w:rsidP="00290330">
            <w:pPr>
              <w:jc w:val="both"/>
              <w:rPr>
                <w:b/>
                <w:bCs/>
                <w:szCs w:val="24"/>
                <w:lang w:eastAsia="en-US"/>
              </w:rPr>
            </w:pPr>
            <w:r w:rsidRPr="004C3008">
              <w:rPr>
                <w:szCs w:val="24"/>
                <w:lang w:eastAsia="en-US"/>
              </w:rPr>
              <w:t>2023 metų įstaigos pagrindiniai veiklos tikslai</w:t>
            </w:r>
          </w:p>
        </w:tc>
        <w:tc>
          <w:tcPr>
            <w:tcW w:w="8649" w:type="dxa"/>
            <w:gridSpan w:val="2"/>
            <w:tcBorders>
              <w:top w:val="single" w:sz="4" w:space="0" w:color="auto"/>
              <w:left w:val="single" w:sz="4" w:space="0" w:color="auto"/>
              <w:right w:val="single" w:sz="4" w:space="0" w:color="auto"/>
            </w:tcBorders>
          </w:tcPr>
          <w:p w14:paraId="72D45560" w14:textId="77777777" w:rsidR="00422C32" w:rsidRPr="004C3008" w:rsidRDefault="00422C32" w:rsidP="00290330">
            <w:pPr>
              <w:tabs>
                <w:tab w:val="left" w:pos="461"/>
              </w:tabs>
              <w:jc w:val="both"/>
              <w:rPr>
                <w:szCs w:val="24"/>
                <w:lang w:eastAsia="en-US"/>
              </w:rPr>
            </w:pPr>
            <w:r w:rsidRPr="004C3008">
              <w:rPr>
                <w:szCs w:val="24"/>
                <w:lang w:eastAsia="en-US"/>
              </w:rPr>
              <w:t>Efektyvus ugdymo proceso tobulinimas.</w:t>
            </w:r>
          </w:p>
          <w:p w14:paraId="56DC41AE" w14:textId="77777777" w:rsidR="00422C32" w:rsidRPr="004C3008" w:rsidRDefault="00422C32" w:rsidP="00290330">
            <w:pPr>
              <w:tabs>
                <w:tab w:val="left" w:pos="461"/>
              </w:tabs>
              <w:jc w:val="both"/>
              <w:rPr>
                <w:szCs w:val="24"/>
                <w:lang w:eastAsia="en-US"/>
              </w:rPr>
            </w:pPr>
            <w:r w:rsidRPr="004C3008">
              <w:rPr>
                <w:szCs w:val="24"/>
                <w:lang w:eastAsia="en-US"/>
              </w:rPr>
              <w:t>1.</w:t>
            </w:r>
            <w:r>
              <w:rPr>
                <w:szCs w:val="24"/>
                <w:lang w:eastAsia="en-US"/>
              </w:rPr>
              <w:t> </w:t>
            </w:r>
            <w:r w:rsidRPr="004C3008">
              <w:rPr>
                <w:szCs w:val="24"/>
                <w:lang w:eastAsia="en-US"/>
              </w:rPr>
              <w:t>Užtikrinti kokybišką pradinio ir pagrindinio ugdymo programų įgyvendinimą.</w:t>
            </w:r>
          </w:p>
          <w:p w14:paraId="5AD08926" w14:textId="77777777" w:rsidR="00422C32" w:rsidRPr="004C3008" w:rsidRDefault="00422C32" w:rsidP="00290330">
            <w:pPr>
              <w:tabs>
                <w:tab w:val="left" w:pos="461"/>
              </w:tabs>
              <w:jc w:val="both"/>
              <w:rPr>
                <w:szCs w:val="24"/>
                <w:lang w:eastAsia="en-US"/>
              </w:rPr>
            </w:pPr>
            <w:r>
              <w:rPr>
                <w:szCs w:val="24"/>
                <w:lang w:eastAsia="en-US"/>
              </w:rPr>
              <w:t>2</w:t>
            </w:r>
            <w:r w:rsidRPr="004C3008">
              <w:rPr>
                <w:szCs w:val="24"/>
                <w:lang w:eastAsia="en-US"/>
              </w:rPr>
              <w:t>.</w:t>
            </w:r>
            <w:r>
              <w:rPr>
                <w:szCs w:val="24"/>
                <w:lang w:eastAsia="en-US"/>
              </w:rPr>
              <w:t> </w:t>
            </w:r>
            <w:r w:rsidRPr="004C3008">
              <w:rPr>
                <w:szCs w:val="24"/>
                <w:lang w:eastAsia="en-US"/>
              </w:rPr>
              <w:t>Teikti sistemingą ir veiksmingą švietimo pagalbą kiekvienam vaikui.</w:t>
            </w:r>
          </w:p>
          <w:p w14:paraId="0D2A67F3" w14:textId="77777777" w:rsidR="00422C32" w:rsidRPr="004C3008" w:rsidRDefault="00422C32" w:rsidP="00290330">
            <w:pPr>
              <w:tabs>
                <w:tab w:val="left" w:pos="461"/>
              </w:tabs>
              <w:jc w:val="both"/>
              <w:rPr>
                <w:szCs w:val="24"/>
                <w:lang w:eastAsia="en-US"/>
              </w:rPr>
            </w:pPr>
            <w:r w:rsidRPr="004C3008">
              <w:rPr>
                <w:szCs w:val="24"/>
                <w:lang w:eastAsia="en-US"/>
              </w:rPr>
              <w:t>3.</w:t>
            </w:r>
            <w:r>
              <w:rPr>
                <w:szCs w:val="24"/>
                <w:lang w:eastAsia="en-US"/>
              </w:rPr>
              <w:t> </w:t>
            </w:r>
            <w:r w:rsidRPr="004C3008">
              <w:rPr>
                <w:szCs w:val="24"/>
                <w:lang w:eastAsia="en-US"/>
              </w:rPr>
              <w:t>Plėtoti mokinių saviraiškos galimybes per neformalųjį švietimą ir projektines veiklas.</w:t>
            </w:r>
          </w:p>
        </w:tc>
      </w:tr>
      <w:tr w:rsidR="00422C32" w:rsidRPr="00CA31BC" w14:paraId="4A2311A9" w14:textId="77777777" w:rsidTr="00290330">
        <w:trPr>
          <w:gridAfter w:val="1"/>
          <w:wAfter w:w="236" w:type="dxa"/>
          <w:trHeight w:val="861"/>
        </w:trPr>
        <w:tc>
          <w:tcPr>
            <w:tcW w:w="2666" w:type="dxa"/>
            <w:vMerge/>
            <w:tcBorders>
              <w:left w:val="single" w:sz="4" w:space="0" w:color="auto"/>
              <w:right w:val="single" w:sz="4" w:space="0" w:color="auto"/>
            </w:tcBorders>
          </w:tcPr>
          <w:p w14:paraId="453D536C"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right w:val="single" w:sz="4" w:space="0" w:color="auto"/>
            </w:tcBorders>
          </w:tcPr>
          <w:p w14:paraId="5CB625E2" w14:textId="77777777" w:rsidR="00422C32" w:rsidRPr="004C3008" w:rsidRDefault="00422C32" w:rsidP="00290330">
            <w:pPr>
              <w:jc w:val="both"/>
              <w:rPr>
                <w:bCs/>
                <w:szCs w:val="24"/>
                <w:lang w:eastAsia="en-US"/>
              </w:rPr>
            </w:pPr>
            <w:r w:rsidRPr="004C3008">
              <w:rPr>
                <w:szCs w:val="24"/>
                <w:lang w:eastAsia="en-US"/>
              </w:rPr>
              <w:t>2022–2023 mokslo metų (arba 2023 metų) įstaigos pagrindinių veiklos tikslų įgyvendinimo (veiklos tobulinimo) perspektyvos</w:t>
            </w:r>
          </w:p>
        </w:tc>
        <w:tc>
          <w:tcPr>
            <w:tcW w:w="8649" w:type="dxa"/>
            <w:gridSpan w:val="2"/>
            <w:tcBorders>
              <w:top w:val="single" w:sz="4" w:space="0" w:color="auto"/>
              <w:left w:val="single" w:sz="4" w:space="0" w:color="auto"/>
              <w:right w:val="single" w:sz="4" w:space="0" w:color="auto"/>
            </w:tcBorders>
          </w:tcPr>
          <w:p w14:paraId="52D82C29" w14:textId="77777777" w:rsidR="00422C32" w:rsidRPr="004C3008" w:rsidRDefault="00422C32" w:rsidP="00290330">
            <w:pPr>
              <w:ind w:firstLine="567"/>
              <w:jc w:val="both"/>
              <w:rPr>
                <w:szCs w:val="24"/>
              </w:rPr>
            </w:pPr>
            <w:r w:rsidRPr="004C3008">
              <w:rPr>
                <w:szCs w:val="24"/>
              </w:rPr>
              <w:t xml:space="preserve">2023 metų mokyklos pagrindiniai tikslai yra įgyvendinti iš dalies. Prasidėjus </w:t>
            </w:r>
            <w:proofErr w:type="spellStart"/>
            <w:r w:rsidRPr="004C3008">
              <w:rPr>
                <w:szCs w:val="24"/>
              </w:rPr>
              <w:t>įtraukiajam</w:t>
            </w:r>
            <w:proofErr w:type="spellEnd"/>
            <w:r w:rsidRPr="004C3008">
              <w:rPr>
                <w:szCs w:val="24"/>
              </w:rPr>
              <w:t xml:space="preserve"> ugdymui 2024 metais dar </w:t>
            </w:r>
            <w:r w:rsidR="00130B54">
              <w:rPr>
                <w:szCs w:val="24"/>
              </w:rPr>
              <w:t xml:space="preserve">didesnis dėmesys privalo būti </w:t>
            </w:r>
            <w:r w:rsidRPr="004C3008">
              <w:rPr>
                <w:szCs w:val="24"/>
              </w:rPr>
              <w:t>s</w:t>
            </w:r>
            <w:r w:rsidR="00130B54">
              <w:rPr>
                <w:szCs w:val="24"/>
              </w:rPr>
              <w:t>kiriamas</w:t>
            </w:r>
            <w:r w:rsidRPr="004C3008">
              <w:rPr>
                <w:szCs w:val="24"/>
              </w:rPr>
              <w:t xml:space="preserve"> ugdymo naujovėmis, patrauklesnio ugdymo metodais, bendravimo ypatumais su įvairius sutrikimus turinčiais vaikais, jų integravimu</w:t>
            </w:r>
            <w:r w:rsidR="00130B54">
              <w:rPr>
                <w:szCs w:val="24"/>
              </w:rPr>
              <w:t>i</w:t>
            </w:r>
            <w:r w:rsidRPr="004C3008">
              <w:rPr>
                <w:szCs w:val="24"/>
              </w:rPr>
              <w:t xml:space="preserve"> į bendrą ugdymo procesą. Taip pat t</w:t>
            </w:r>
            <w:r w:rsidR="00130B54">
              <w:rPr>
                <w:szCs w:val="24"/>
              </w:rPr>
              <w:t>ę</w:t>
            </w:r>
            <w:r w:rsidRPr="004C3008">
              <w:rPr>
                <w:szCs w:val="24"/>
              </w:rPr>
              <w:t>si</w:t>
            </w:r>
            <w:r w:rsidR="00130B54">
              <w:rPr>
                <w:szCs w:val="24"/>
              </w:rPr>
              <w:t>amas</w:t>
            </w:r>
            <w:r w:rsidRPr="004C3008">
              <w:rPr>
                <w:szCs w:val="24"/>
              </w:rPr>
              <w:t xml:space="preserve"> ugdymo organizavim</w:t>
            </w:r>
            <w:r w:rsidR="00130B54">
              <w:rPr>
                <w:szCs w:val="24"/>
              </w:rPr>
              <w:t>as</w:t>
            </w:r>
            <w:r w:rsidRPr="004C3008">
              <w:rPr>
                <w:szCs w:val="24"/>
              </w:rPr>
              <w:t xml:space="preserve"> pagal atnaujintas ugdymo programas.</w:t>
            </w:r>
          </w:p>
        </w:tc>
      </w:tr>
      <w:tr w:rsidR="00422C32" w:rsidRPr="00CA31BC" w14:paraId="61E9DE29" w14:textId="77777777" w:rsidTr="00290330">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3E696865" w14:textId="77777777" w:rsidR="00422C32" w:rsidRPr="004C3008" w:rsidRDefault="00422C32" w:rsidP="00843D02">
            <w:pPr>
              <w:rPr>
                <w:b/>
                <w:bCs/>
                <w:szCs w:val="24"/>
                <w:lang w:eastAsia="en-US"/>
              </w:rPr>
            </w:pPr>
            <w:r w:rsidRPr="004C3008">
              <w:rPr>
                <w:szCs w:val="24"/>
                <w:lang w:eastAsia="en-US"/>
              </w:rPr>
              <w:t>Formalusis ir neformalusis švietimas bei projektinė veikla</w:t>
            </w:r>
          </w:p>
        </w:tc>
        <w:tc>
          <w:tcPr>
            <w:tcW w:w="3286" w:type="dxa"/>
            <w:gridSpan w:val="2"/>
            <w:tcBorders>
              <w:top w:val="single" w:sz="4" w:space="0" w:color="auto"/>
              <w:left w:val="single" w:sz="4" w:space="0" w:color="auto"/>
              <w:bottom w:val="single" w:sz="4" w:space="0" w:color="auto"/>
              <w:right w:val="single" w:sz="4" w:space="0" w:color="auto"/>
            </w:tcBorders>
          </w:tcPr>
          <w:p w14:paraId="6CD6C906" w14:textId="77777777" w:rsidR="00422C32" w:rsidRPr="004C3008" w:rsidRDefault="00422C32" w:rsidP="00290330">
            <w:pPr>
              <w:jc w:val="both"/>
              <w:rPr>
                <w:szCs w:val="24"/>
              </w:rPr>
            </w:pPr>
            <w:r w:rsidRPr="004C3008">
              <w:rPr>
                <w:szCs w:val="24"/>
              </w:rPr>
              <w:t>2022–2023 ir 2023–2024 mokslo metų ugdymo planų suderinimas ir patvirtinimas</w:t>
            </w:r>
          </w:p>
        </w:tc>
        <w:tc>
          <w:tcPr>
            <w:tcW w:w="8649" w:type="dxa"/>
            <w:gridSpan w:val="2"/>
            <w:tcBorders>
              <w:top w:val="single" w:sz="4" w:space="0" w:color="auto"/>
              <w:left w:val="single" w:sz="4" w:space="0" w:color="auto"/>
              <w:right w:val="single" w:sz="4" w:space="0" w:color="auto"/>
            </w:tcBorders>
          </w:tcPr>
          <w:p w14:paraId="06EADF53" w14:textId="77777777" w:rsidR="00787550" w:rsidRDefault="00422C32" w:rsidP="00422C32">
            <w:pPr>
              <w:ind w:firstLine="567"/>
              <w:jc w:val="both"/>
              <w:rPr>
                <w:szCs w:val="24"/>
              </w:rPr>
            </w:pPr>
            <w:r w:rsidRPr="004C3008">
              <w:rPr>
                <w:szCs w:val="24"/>
              </w:rPr>
              <w:t xml:space="preserve">Klausučių Stasio </w:t>
            </w:r>
            <w:proofErr w:type="spellStart"/>
            <w:r w:rsidRPr="004C3008">
              <w:rPr>
                <w:szCs w:val="24"/>
              </w:rPr>
              <w:t>Santvaro</w:t>
            </w:r>
            <w:proofErr w:type="spellEnd"/>
            <w:r w:rsidRPr="004C3008">
              <w:rPr>
                <w:szCs w:val="24"/>
              </w:rPr>
              <w:t xml:space="preserve"> pagrindinėje mokykloje parengti </w:t>
            </w:r>
            <w:r>
              <w:rPr>
                <w:szCs w:val="24"/>
              </w:rPr>
              <w:t xml:space="preserve">2021–2022 ir </w:t>
            </w:r>
            <w:r w:rsidR="00130B54">
              <w:rPr>
                <w:szCs w:val="24"/>
              </w:rPr>
              <w:t xml:space="preserve">   </w:t>
            </w:r>
            <w:r>
              <w:rPr>
                <w:szCs w:val="24"/>
              </w:rPr>
              <w:t xml:space="preserve">2022–2023 mokslo metų pradinio ir pagrindinio ugdymo programų ugdymo planai, suderinti su Jurbarko rajono savivaldybės administracijos direktoriumi </w:t>
            </w:r>
            <w:r w:rsidR="00130B54">
              <w:rPr>
                <w:szCs w:val="24"/>
              </w:rPr>
              <w:t>(</w:t>
            </w:r>
            <w:r>
              <w:rPr>
                <w:szCs w:val="24"/>
              </w:rPr>
              <w:t xml:space="preserve">2021-08-19 įsakymas </w:t>
            </w:r>
            <w:r w:rsidR="00787550">
              <w:rPr>
                <w:szCs w:val="24"/>
              </w:rPr>
              <w:t>N</w:t>
            </w:r>
            <w:r>
              <w:rPr>
                <w:szCs w:val="24"/>
              </w:rPr>
              <w:t>r.</w:t>
            </w:r>
            <w:r w:rsidR="00787550">
              <w:rPr>
                <w:szCs w:val="24"/>
              </w:rPr>
              <w:t> </w:t>
            </w:r>
            <w:r>
              <w:rPr>
                <w:szCs w:val="24"/>
              </w:rPr>
              <w:t>O1-964</w:t>
            </w:r>
            <w:r w:rsidR="00130B54">
              <w:rPr>
                <w:szCs w:val="24"/>
              </w:rPr>
              <w:t>)</w:t>
            </w:r>
            <w:r>
              <w:rPr>
                <w:szCs w:val="24"/>
              </w:rPr>
              <w:t xml:space="preserve"> ir patvirtinti mokyklos direktoriaus 2021-08-23 įsakymu </w:t>
            </w:r>
            <w:r w:rsidR="00130B54">
              <w:rPr>
                <w:szCs w:val="24"/>
              </w:rPr>
              <w:t xml:space="preserve">    </w:t>
            </w:r>
            <w:r>
              <w:rPr>
                <w:szCs w:val="24"/>
              </w:rPr>
              <w:t>Nr.</w:t>
            </w:r>
            <w:r w:rsidR="00130B54">
              <w:rPr>
                <w:szCs w:val="24"/>
              </w:rPr>
              <w:t> </w:t>
            </w:r>
            <w:r>
              <w:rPr>
                <w:szCs w:val="24"/>
              </w:rPr>
              <w:t xml:space="preserve">V-55. </w:t>
            </w:r>
          </w:p>
          <w:p w14:paraId="7B86153E" w14:textId="77777777" w:rsidR="00422C32" w:rsidRPr="004C3008" w:rsidRDefault="00422C32" w:rsidP="00422C32">
            <w:pPr>
              <w:ind w:firstLine="567"/>
              <w:jc w:val="both"/>
              <w:rPr>
                <w:szCs w:val="24"/>
              </w:rPr>
            </w:pPr>
            <w:r w:rsidRPr="004C3008">
              <w:rPr>
                <w:szCs w:val="24"/>
              </w:rPr>
              <w:t xml:space="preserve">2023–2024 ir 2024–2025 mokslo metų pradinio ir pagrindinio ugdymo programų ugdymo planai suderinti su Jurbarko rajono savivaldybės administracijos direktoriumi </w:t>
            </w:r>
            <w:r w:rsidR="00130B54">
              <w:rPr>
                <w:szCs w:val="24"/>
              </w:rPr>
              <w:t>(</w:t>
            </w:r>
            <w:r w:rsidRPr="004C3008">
              <w:rPr>
                <w:szCs w:val="24"/>
              </w:rPr>
              <w:t>2023-08-30 įsakymas Nr. O1-733</w:t>
            </w:r>
            <w:r w:rsidR="00130B54">
              <w:rPr>
                <w:szCs w:val="24"/>
              </w:rPr>
              <w:t>)</w:t>
            </w:r>
            <w:r w:rsidRPr="004C3008">
              <w:rPr>
                <w:szCs w:val="24"/>
              </w:rPr>
              <w:t xml:space="preserve"> ir patvirtinti mokyklos direktoriaus 2023-08-31 įsakymu Nr.</w:t>
            </w:r>
            <w:r w:rsidR="00130B54">
              <w:rPr>
                <w:szCs w:val="24"/>
              </w:rPr>
              <w:t xml:space="preserve"> </w:t>
            </w:r>
            <w:r w:rsidRPr="004C3008">
              <w:rPr>
                <w:szCs w:val="24"/>
              </w:rPr>
              <w:t>V-41.</w:t>
            </w:r>
          </w:p>
        </w:tc>
      </w:tr>
      <w:tr w:rsidR="00422C32" w:rsidRPr="00CA31BC" w14:paraId="743B4127" w14:textId="77777777" w:rsidTr="00290330">
        <w:trPr>
          <w:gridAfter w:val="1"/>
          <w:wAfter w:w="236" w:type="dxa"/>
          <w:trHeight w:val="277"/>
        </w:trPr>
        <w:tc>
          <w:tcPr>
            <w:tcW w:w="2666" w:type="dxa"/>
            <w:vMerge/>
            <w:tcBorders>
              <w:left w:val="single" w:sz="4" w:space="0" w:color="auto"/>
              <w:right w:val="single" w:sz="4" w:space="0" w:color="auto"/>
            </w:tcBorders>
          </w:tcPr>
          <w:p w14:paraId="63FCC7CC"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389D571" w14:textId="77777777" w:rsidR="00422C32" w:rsidRPr="004C3008" w:rsidRDefault="00422C32" w:rsidP="00290330">
            <w:pPr>
              <w:jc w:val="both"/>
              <w:rPr>
                <w:color w:val="000000"/>
                <w:szCs w:val="24"/>
                <w:lang w:eastAsia="en-US"/>
              </w:rPr>
            </w:pPr>
            <w:r w:rsidRPr="004C3008">
              <w:rPr>
                <w:color w:val="000000"/>
                <w:szCs w:val="24"/>
                <w:lang w:eastAsia="en-US"/>
              </w:rPr>
              <w:t xml:space="preserve">2022–2023 mokslo metų bendrojo ugdymo planų įgyvendinimas, problemos, </w:t>
            </w:r>
            <w:r w:rsidRPr="004C3008">
              <w:rPr>
                <w:color w:val="000000"/>
                <w:szCs w:val="24"/>
                <w:lang w:eastAsia="en-US"/>
              </w:rPr>
              <w:lastRenderedPageBreak/>
              <w:t xml:space="preserve">sėkmės ir pokyčiai (palyginimas su 2021–2022 mokslo metais) </w:t>
            </w:r>
          </w:p>
        </w:tc>
        <w:tc>
          <w:tcPr>
            <w:tcW w:w="8649" w:type="dxa"/>
            <w:gridSpan w:val="2"/>
            <w:tcBorders>
              <w:left w:val="single" w:sz="4" w:space="0" w:color="auto"/>
              <w:bottom w:val="single" w:sz="4" w:space="0" w:color="auto"/>
              <w:right w:val="single" w:sz="4" w:space="0" w:color="auto"/>
            </w:tcBorders>
          </w:tcPr>
          <w:p w14:paraId="09CE4551" w14:textId="77777777" w:rsidR="00422C32" w:rsidRPr="004C3008" w:rsidRDefault="00422C32" w:rsidP="00290330">
            <w:pPr>
              <w:ind w:firstLine="567"/>
              <w:jc w:val="both"/>
              <w:rPr>
                <w:szCs w:val="24"/>
              </w:rPr>
            </w:pPr>
            <w:r w:rsidRPr="004C3008">
              <w:rPr>
                <w:szCs w:val="24"/>
              </w:rPr>
              <w:lastRenderedPageBreak/>
              <w:t>Ugdymo procesas visus mokslo metus vyko be sutrikimų, tačiau pasiekti užsibrėžto tikslo nepavyko visiškai įgyvendinti. Tai parodė mokinių ugdymosi rezultatai</w:t>
            </w:r>
            <w:r>
              <w:rPr>
                <w:szCs w:val="24"/>
              </w:rPr>
              <w:t xml:space="preserve">. </w:t>
            </w:r>
            <w:r>
              <w:rPr>
                <w:szCs w:val="24"/>
              </w:rPr>
              <w:lastRenderedPageBreak/>
              <w:t>2021</w:t>
            </w:r>
            <w:r w:rsidR="00130B54">
              <w:rPr>
                <w:szCs w:val="24"/>
              </w:rPr>
              <w:t>–</w:t>
            </w:r>
            <w:r>
              <w:rPr>
                <w:szCs w:val="24"/>
              </w:rPr>
              <w:t>2022 mokslo metais mokinių pažangumas buvo 100</w:t>
            </w:r>
            <w:r w:rsidR="00130B54">
              <w:rPr>
                <w:szCs w:val="24"/>
              </w:rPr>
              <w:t> </w:t>
            </w:r>
            <w:r>
              <w:rPr>
                <w:szCs w:val="24"/>
              </w:rPr>
              <w:t>%, o žinių kokybė siekė 52</w:t>
            </w:r>
            <w:r w:rsidR="00130B54">
              <w:rPr>
                <w:szCs w:val="24"/>
              </w:rPr>
              <w:t> </w:t>
            </w:r>
            <w:r>
              <w:rPr>
                <w:szCs w:val="24"/>
              </w:rPr>
              <w:t>%, 2022</w:t>
            </w:r>
            <w:r w:rsidR="00130B54">
              <w:rPr>
                <w:szCs w:val="24"/>
              </w:rPr>
              <w:t>–</w:t>
            </w:r>
            <w:r>
              <w:rPr>
                <w:szCs w:val="24"/>
              </w:rPr>
              <w:t>2023 mokslo metais pažangumas – 100</w:t>
            </w:r>
            <w:r w:rsidR="00130B54">
              <w:rPr>
                <w:szCs w:val="24"/>
              </w:rPr>
              <w:t> </w:t>
            </w:r>
            <w:r>
              <w:rPr>
                <w:szCs w:val="24"/>
              </w:rPr>
              <w:t xml:space="preserve">%, žinių kokybė </w:t>
            </w:r>
            <w:r w:rsidR="00130B54">
              <w:rPr>
                <w:szCs w:val="24"/>
              </w:rPr>
              <w:t xml:space="preserve">– </w:t>
            </w:r>
            <w:r>
              <w:rPr>
                <w:szCs w:val="24"/>
              </w:rPr>
              <w:t>60,7</w:t>
            </w:r>
            <w:r w:rsidR="00130B54">
              <w:rPr>
                <w:szCs w:val="24"/>
              </w:rPr>
              <w:t> </w:t>
            </w:r>
            <w:r>
              <w:rPr>
                <w:szCs w:val="24"/>
              </w:rPr>
              <w:t>%.</w:t>
            </w:r>
          </w:p>
          <w:p w14:paraId="4945F23E" w14:textId="77777777" w:rsidR="00422C32" w:rsidRPr="004C3008" w:rsidRDefault="00422C32" w:rsidP="00290330">
            <w:pPr>
              <w:ind w:firstLine="567"/>
              <w:jc w:val="both"/>
              <w:rPr>
                <w:szCs w:val="24"/>
              </w:rPr>
            </w:pPr>
            <w:r w:rsidRPr="004C3008">
              <w:rPr>
                <w:szCs w:val="24"/>
              </w:rPr>
              <w:t>Remiantis pažangumo ir lankomumo suvestinėmis ir atskirų klasių pažangumo ir lankomumo ataskaitomis, galima daryti išvadas, kad užtikrinti kokybišką pradinio ir pagrindinio ugdymo programų įgyvendinimą ir pasiekti aukštesnę mokinių ugdymosi kokybę trukdė didelis praleistų pamokų skaičius visose klasėse.</w:t>
            </w:r>
          </w:p>
          <w:p w14:paraId="1B6B08BF" w14:textId="77777777" w:rsidR="00422C32" w:rsidRPr="004C3008" w:rsidRDefault="00422C32" w:rsidP="00290330">
            <w:pPr>
              <w:ind w:firstLine="567"/>
              <w:jc w:val="both"/>
              <w:rPr>
                <w:rFonts w:eastAsia="Calibri"/>
                <w:b/>
                <w:bCs/>
                <w:szCs w:val="24"/>
                <w:lang w:eastAsia="en-US"/>
              </w:rPr>
            </w:pPr>
            <w:r w:rsidRPr="004C3008">
              <w:rPr>
                <w:szCs w:val="24"/>
              </w:rPr>
              <w:t>Todėl glaudesnis bendravimas su tėvais, jų atsakomybė už vaiko ugdymosi rezultatus, padėtų pašalinti ar bent sušvelninti šią problemą.</w:t>
            </w:r>
          </w:p>
        </w:tc>
      </w:tr>
      <w:tr w:rsidR="00422C32" w:rsidRPr="00CA31BC" w14:paraId="2F6777E4" w14:textId="77777777" w:rsidTr="00290330">
        <w:trPr>
          <w:gridAfter w:val="1"/>
          <w:wAfter w:w="236" w:type="dxa"/>
          <w:trHeight w:val="184"/>
        </w:trPr>
        <w:tc>
          <w:tcPr>
            <w:tcW w:w="2666" w:type="dxa"/>
            <w:vMerge/>
            <w:tcBorders>
              <w:left w:val="single" w:sz="4" w:space="0" w:color="auto"/>
              <w:right w:val="single" w:sz="4" w:space="0" w:color="auto"/>
            </w:tcBorders>
          </w:tcPr>
          <w:p w14:paraId="203F7719"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DC8AC5C" w14:textId="77777777" w:rsidR="00422C32" w:rsidRPr="004C3008" w:rsidRDefault="00422C32" w:rsidP="00290330">
            <w:pPr>
              <w:jc w:val="both"/>
              <w:rPr>
                <w:color w:val="000000"/>
                <w:szCs w:val="24"/>
                <w:lang w:eastAsia="en-US"/>
              </w:rPr>
            </w:pPr>
            <w:r w:rsidRPr="004C3008">
              <w:rPr>
                <w:color w:val="000000"/>
                <w:szCs w:val="24"/>
                <w:lang w:eastAsia="en-US"/>
              </w:rPr>
              <w:t xml:space="preserve">2023 m. pagrindinio ugdymo pasiekimų patikrinimo ir brandos egzaminų rezultatai bei 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56891AB0" w14:textId="77777777" w:rsidR="00422C32" w:rsidRPr="004C3008" w:rsidRDefault="00422C32" w:rsidP="00290330">
            <w:pPr>
              <w:jc w:val="both"/>
              <w:rPr>
                <w:szCs w:val="24"/>
                <w:lang w:eastAsia="en-US"/>
              </w:rPr>
            </w:pPr>
            <w:r w:rsidRPr="004C3008">
              <w:rPr>
                <w:szCs w:val="24"/>
                <w:lang w:eastAsia="en-US"/>
              </w:rPr>
              <w:t xml:space="preserve">2023 m. pagrindinio ugdymo pasiekimų patikrinimo rezultatai: </w:t>
            </w:r>
          </w:p>
          <w:p w14:paraId="64D1C6E6" w14:textId="77777777" w:rsidR="00422C32" w:rsidRPr="004C3008" w:rsidRDefault="00422C32" w:rsidP="00290330">
            <w:pPr>
              <w:jc w:val="both"/>
              <w:rPr>
                <w:szCs w:val="24"/>
                <w:lang w:eastAsia="en-US"/>
              </w:rPr>
            </w:pPr>
            <w:r w:rsidRPr="004C3008">
              <w:rPr>
                <w:szCs w:val="24"/>
                <w:lang w:eastAsia="en-US"/>
              </w:rPr>
              <w:t xml:space="preserve">1. Matematika – balo vidurkis 3,67, </w:t>
            </w:r>
            <w:r w:rsidR="00B3132C">
              <w:rPr>
                <w:szCs w:val="24"/>
                <w:lang w:eastAsia="en-US"/>
              </w:rPr>
              <w:t>savivaldybėje</w:t>
            </w:r>
            <w:r w:rsidRPr="004C3008">
              <w:rPr>
                <w:szCs w:val="24"/>
                <w:lang w:eastAsia="en-US"/>
              </w:rPr>
              <w:t xml:space="preserve"> – 4,9, respublikoje – 5,39.</w:t>
            </w:r>
          </w:p>
          <w:p w14:paraId="5EC85426" w14:textId="77777777" w:rsidR="00422C32" w:rsidRPr="004C3008" w:rsidRDefault="00422C32" w:rsidP="00290330">
            <w:pPr>
              <w:jc w:val="both"/>
              <w:rPr>
                <w:szCs w:val="24"/>
                <w:lang w:eastAsia="en-US"/>
              </w:rPr>
            </w:pPr>
            <w:r w:rsidRPr="004C3008">
              <w:rPr>
                <w:szCs w:val="24"/>
                <w:lang w:eastAsia="en-US"/>
              </w:rPr>
              <w:t xml:space="preserve">2. Lietuvių kalba ir literatūra – balo vidurkis 5,89, </w:t>
            </w:r>
            <w:r w:rsidR="00B3132C">
              <w:rPr>
                <w:szCs w:val="24"/>
                <w:lang w:eastAsia="en-US"/>
              </w:rPr>
              <w:t>savivaldybėje</w:t>
            </w:r>
            <w:r w:rsidR="00B3132C" w:rsidRPr="004C3008">
              <w:rPr>
                <w:szCs w:val="24"/>
                <w:lang w:eastAsia="en-US"/>
              </w:rPr>
              <w:t xml:space="preserve"> </w:t>
            </w:r>
            <w:r w:rsidRPr="004C3008">
              <w:rPr>
                <w:szCs w:val="24"/>
                <w:lang w:eastAsia="en-US"/>
              </w:rPr>
              <w:t>– 6,65, respublikoje – 6,6.</w:t>
            </w:r>
          </w:p>
          <w:p w14:paraId="4651138A" w14:textId="77777777" w:rsidR="00422C32" w:rsidRPr="004C3008" w:rsidRDefault="00422C32" w:rsidP="00290330">
            <w:pPr>
              <w:jc w:val="both"/>
              <w:rPr>
                <w:szCs w:val="24"/>
                <w:lang w:eastAsia="en-US"/>
              </w:rPr>
            </w:pPr>
            <w:r w:rsidRPr="004C3008">
              <w:rPr>
                <w:szCs w:val="24"/>
                <w:lang w:eastAsia="en-US"/>
              </w:rPr>
              <w:t>Iš viso pagrindinio ugdymo pasiekimų patikrinime dalyvavo 9 mokiniai.</w:t>
            </w:r>
          </w:p>
        </w:tc>
      </w:tr>
      <w:tr w:rsidR="00422C32" w:rsidRPr="00CA31BC" w14:paraId="6A7480AE" w14:textId="77777777" w:rsidTr="00290330">
        <w:trPr>
          <w:gridAfter w:val="1"/>
          <w:wAfter w:w="236" w:type="dxa"/>
          <w:trHeight w:val="184"/>
        </w:trPr>
        <w:tc>
          <w:tcPr>
            <w:tcW w:w="2666" w:type="dxa"/>
            <w:vMerge/>
            <w:tcBorders>
              <w:left w:val="single" w:sz="4" w:space="0" w:color="auto"/>
              <w:right w:val="single" w:sz="4" w:space="0" w:color="auto"/>
            </w:tcBorders>
          </w:tcPr>
          <w:p w14:paraId="2F6F28BE"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67ABC5E" w14:textId="77777777" w:rsidR="00422C32" w:rsidRPr="004C3008" w:rsidRDefault="00422C32" w:rsidP="00290330">
            <w:pPr>
              <w:jc w:val="both"/>
              <w:rPr>
                <w:color w:val="000000"/>
                <w:szCs w:val="24"/>
                <w:lang w:eastAsia="en-US"/>
              </w:rPr>
            </w:pPr>
            <w:r w:rsidRPr="004C3008">
              <w:rPr>
                <w:szCs w:val="24"/>
                <w:lang w:eastAsia="en-US"/>
              </w:rPr>
              <w:t xml:space="preserve">Įstaigos </w:t>
            </w:r>
            <w:r w:rsidRPr="004C3008">
              <w:rPr>
                <w:color w:val="000000"/>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3D993698" w14:textId="77777777" w:rsidR="00600799" w:rsidRDefault="00600799" w:rsidP="00600799">
            <w:pPr>
              <w:ind w:firstLine="567"/>
              <w:jc w:val="both"/>
              <w:rPr>
                <w:szCs w:val="24"/>
              </w:rPr>
            </w:pPr>
            <w:r>
              <w:rPr>
                <w:szCs w:val="24"/>
              </w:rPr>
              <w:t xml:space="preserve">2023 metais </w:t>
            </w:r>
            <w:r w:rsidR="00422C32" w:rsidRPr="00307C7A">
              <w:rPr>
                <w:szCs w:val="24"/>
              </w:rPr>
              <w:t>Nacionalini</w:t>
            </w:r>
            <w:r w:rsidR="00422C32">
              <w:rPr>
                <w:szCs w:val="24"/>
              </w:rPr>
              <w:t>ai mokinių pasiekimų patikrinimai (NMPP) vyko 8 ir 4 klasėse.</w:t>
            </w:r>
            <w:r w:rsidR="00422C32" w:rsidRPr="00600799">
              <w:rPr>
                <w:szCs w:val="24"/>
              </w:rPr>
              <w:t xml:space="preserve"> </w:t>
            </w:r>
          </w:p>
          <w:p w14:paraId="39D033E5" w14:textId="77777777" w:rsidR="00422C32" w:rsidRPr="004D3683" w:rsidRDefault="00422C32" w:rsidP="00290330">
            <w:pPr>
              <w:ind w:firstLine="567"/>
              <w:jc w:val="both"/>
              <w:rPr>
                <w:szCs w:val="24"/>
              </w:rPr>
            </w:pPr>
            <w:r w:rsidRPr="004C3008">
              <w:rPr>
                <w:szCs w:val="24"/>
              </w:rPr>
              <w:t>8 klasė</w:t>
            </w:r>
            <w:r w:rsidR="00600799">
              <w:rPr>
                <w:szCs w:val="24"/>
              </w:rPr>
              <w:t xml:space="preserve">. </w:t>
            </w:r>
            <w:r w:rsidRPr="004C3008">
              <w:rPr>
                <w:szCs w:val="24"/>
              </w:rPr>
              <w:t xml:space="preserve">Mokiniai atliko skaitymo, matematikos testus. Lietuvių kalbos ir literatūros (skaitymo) testą atliko 10 mokinių, 1 nedalyvavo. Visi </w:t>
            </w:r>
            <w:bookmarkStart w:id="5" w:name="_Hlk138232052"/>
            <w:r w:rsidRPr="004C3008">
              <w:rPr>
                <w:szCs w:val="24"/>
              </w:rPr>
              <w:t>pasiekė pagrindinį pasiekimų lygį</w:t>
            </w:r>
            <w:bookmarkEnd w:id="5"/>
            <w:r w:rsidRPr="004C3008">
              <w:rPr>
                <w:szCs w:val="24"/>
              </w:rPr>
              <w:t>.</w:t>
            </w:r>
            <w:r w:rsidR="00600799">
              <w:rPr>
                <w:szCs w:val="24"/>
              </w:rPr>
              <w:t xml:space="preserve"> </w:t>
            </w:r>
            <w:r w:rsidRPr="004C3008">
              <w:rPr>
                <w:szCs w:val="24"/>
              </w:rPr>
              <w:t xml:space="preserve">Matematikos testą taip pat atliko 10 mokinių, 1 nedalyvavo. 3 mokiniai pasiekė pagrindinį pasiekimų lygį, 6 </w:t>
            </w:r>
            <w:r w:rsidR="00600799">
              <w:rPr>
                <w:szCs w:val="24"/>
              </w:rPr>
              <w:t>–</w:t>
            </w:r>
            <w:r w:rsidRPr="004C3008">
              <w:rPr>
                <w:szCs w:val="24"/>
              </w:rPr>
              <w:t xml:space="preserve"> patenkinamą, 1 </w:t>
            </w:r>
            <w:r w:rsidR="00600799">
              <w:rPr>
                <w:szCs w:val="24"/>
              </w:rPr>
              <w:t xml:space="preserve"> mokinys </w:t>
            </w:r>
            <w:r w:rsidRPr="004C3008">
              <w:rPr>
                <w:szCs w:val="24"/>
              </w:rPr>
              <w:t>nepasiekė patenkinamo pasiekimų lygio.</w:t>
            </w:r>
          </w:p>
          <w:p w14:paraId="0363A765" w14:textId="77777777" w:rsidR="00422C32" w:rsidRPr="004C3008" w:rsidRDefault="00422C32" w:rsidP="00290330">
            <w:pPr>
              <w:ind w:firstLine="567"/>
              <w:jc w:val="both"/>
              <w:rPr>
                <w:szCs w:val="24"/>
              </w:rPr>
            </w:pPr>
            <w:r w:rsidRPr="004C3008">
              <w:rPr>
                <w:szCs w:val="24"/>
              </w:rPr>
              <w:t>4 klasė. Bent po vieną testą atliko visi mokiniai. Matematikos testo klasės rezultato vidurkis 61,5</w:t>
            </w:r>
            <w:r w:rsidR="00600799">
              <w:rPr>
                <w:szCs w:val="24"/>
              </w:rPr>
              <w:t> %,</w:t>
            </w:r>
            <w:r w:rsidRPr="004C3008">
              <w:rPr>
                <w:szCs w:val="24"/>
              </w:rPr>
              <w:t xml:space="preserve"> vienas mokinys testo nebaigė (pritrūko laiko), 2 mokiniai pasiekė aukštesnįjį pasiekimų lygį, 4 – pagrindinį ir 1 – patenkinamą.</w:t>
            </w:r>
            <w:r w:rsidR="00600799">
              <w:rPr>
                <w:szCs w:val="24"/>
              </w:rPr>
              <w:t xml:space="preserve"> </w:t>
            </w:r>
            <w:r w:rsidRPr="004C3008">
              <w:rPr>
                <w:szCs w:val="24"/>
              </w:rPr>
              <w:t>Skaitymo testo klasės rezultato vidurkis 39,6</w:t>
            </w:r>
            <w:r w:rsidR="00600799">
              <w:rPr>
                <w:szCs w:val="24"/>
              </w:rPr>
              <w:t> %,</w:t>
            </w:r>
            <w:r w:rsidRPr="004C3008">
              <w:rPr>
                <w:szCs w:val="24"/>
              </w:rPr>
              <w:t xml:space="preserve"> 5 mokiniai pasiekė pagrindinį pasiekimų lygį, 2 – patenkinamą ir 1 </w:t>
            </w:r>
            <w:r w:rsidR="00600799">
              <w:rPr>
                <w:szCs w:val="24"/>
              </w:rPr>
              <w:t>mokinys</w:t>
            </w:r>
            <w:r w:rsidRPr="004C3008">
              <w:rPr>
                <w:szCs w:val="24"/>
              </w:rPr>
              <w:t xml:space="preserve"> nepasiekė patenkinamo lygio.</w:t>
            </w:r>
          </w:p>
          <w:p w14:paraId="211980F2" w14:textId="77777777" w:rsidR="00422C32" w:rsidRPr="004C3008" w:rsidRDefault="00422C32" w:rsidP="00290330">
            <w:pPr>
              <w:ind w:firstLine="567"/>
              <w:jc w:val="both"/>
              <w:rPr>
                <w:szCs w:val="24"/>
              </w:rPr>
            </w:pPr>
            <w:r w:rsidRPr="004C3008">
              <w:rPr>
                <w:szCs w:val="24"/>
              </w:rPr>
              <w:t xml:space="preserve">2023 metais mokykla dalyvavo projekte </w:t>
            </w:r>
            <w:r w:rsidR="00600799">
              <w:rPr>
                <w:szCs w:val="24"/>
              </w:rPr>
              <w:t>„</w:t>
            </w:r>
            <w:r w:rsidRPr="004C3008">
              <w:rPr>
                <w:szCs w:val="24"/>
              </w:rPr>
              <w:t xml:space="preserve">Skaitmeninio ugdymo turinio kūrimas ir diegimas“, </w:t>
            </w:r>
            <w:r w:rsidR="00B3132C">
              <w:rPr>
                <w:szCs w:val="24"/>
              </w:rPr>
              <w:t xml:space="preserve">kuris </w:t>
            </w:r>
            <w:r w:rsidRPr="004C3008">
              <w:rPr>
                <w:szCs w:val="24"/>
              </w:rPr>
              <w:t xml:space="preserve">finansuojamas </w:t>
            </w:r>
            <w:r w:rsidR="00B3132C">
              <w:rPr>
                <w:szCs w:val="24"/>
              </w:rPr>
              <w:t xml:space="preserve">iš </w:t>
            </w:r>
            <w:r w:rsidRPr="004C3008">
              <w:rPr>
                <w:szCs w:val="24"/>
              </w:rPr>
              <w:t>Europos Sąjungos fondų ir Lietuvos Respublikos valstybės biudžeto</w:t>
            </w:r>
            <w:r>
              <w:rPr>
                <w:szCs w:val="24"/>
              </w:rPr>
              <w:t>.</w:t>
            </w:r>
          </w:p>
        </w:tc>
      </w:tr>
      <w:tr w:rsidR="00422C32" w:rsidRPr="00CA31BC" w14:paraId="19DB5519" w14:textId="77777777" w:rsidTr="00290330">
        <w:trPr>
          <w:gridAfter w:val="1"/>
          <w:wAfter w:w="236" w:type="dxa"/>
          <w:trHeight w:val="184"/>
        </w:trPr>
        <w:tc>
          <w:tcPr>
            <w:tcW w:w="2666" w:type="dxa"/>
            <w:vMerge/>
            <w:tcBorders>
              <w:left w:val="single" w:sz="4" w:space="0" w:color="auto"/>
              <w:right w:val="single" w:sz="4" w:space="0" w:color="auto"/>
            </w:tcBorders>
          </w:tcPr>
          <w:p w14:paraId="127978F7"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92268D5" w14:textId="77777777" w:rsidR="00422C32" w:rsidRPr="004C3008" w:rsidRDefault="00422C32" w:rsidP="00290330">
            <w:pPr>
              <w:jc w:val="both"/>
              <w:rPr>
                <w:color w:val="000000"/>
                <w:szCs w:val="24"/>
                <w:lang w:eastAsia="en-US"/>
              </w:rPr>
            </w:pPr>
            <w:r w:rsidRPr="004C3008">
              <w:rPr>
                <w:color w:val="000000"/>
                <w:szCs w:val="24"/>
                <w:lang w:eastAsia="en-US"/>
              </w:rPr>
              <w:t>Mokinių (ugdytinių) mokymo(</w:t>
            </w:r>
            <w:proofErr w:type="spellStart"/>
            <w:r w:rsidRPr="004C3008">
              <w:rPr>
                <w:color w:val="000000"/>
                <w:szCs w:val="24"/>
                <w:lang w:eastAsia="en-US"/>
              </w:rPr>
              <w:t>si</w:t>
            </w:r>
            <w:proofErr w:type="spellEnd"/>
            <w:r w:rsidRPr="004C3008">
              <w:rPr>
                <w:color w:val="000000"/>
                <w:szCs w:val="24"/>
                <w:lang w:eastAsia="en-US"/>
              </w:rPr>
              <w:t>) ir ugdymo(</w:t>
            </w:r>
            <w:proofErr w:type="spellStart"/>
            <w:r w:rsidRPr="004C3008">
              <w:rPr>
                <w:color w:val="000000"/>
                <w:szCs w:val="24"/>
                <w:lang w:eastAsia="en-US"/>
              </w:rPr>
              <w:t>si</w:t>
            </w:r>
            <w:proofErr w:type="spellEnd"/>
            <w:r w:rsidRPr="004C3008">
              <w:rPr>
                <w:color w:val="000000"/>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181C89B3" w14:textId="77777777" w:rsidR="00422C32" w:rsidRPr="004C3008" w:rsidRDefault="00422C32" w:rsidP="00290330">
            <w:pPr>
              <w:ind w:firstLine="567"/>
              <w:jc w:val="both"/>
              <w:rPr>
                <w:szCs w:val="24"/>
              </w:rPr>
            </w:pPr>
            <w:r w:rsidRPr="004C3008">
              <w:rPr>
                <w:szCs w:val="24"/>
              </w:rPr>
              <w:t xml:space="preserve">Klausučių Stasio </w:t>
            </w:r>
            <w:proofErr w:type="spellStart"/>
            <w:r w:rsidRPr="004C3008">
              <w:rPr>
                <w:szCs w:val="24"/>
              </w:rPr>
              <w:t>Santvaro</w:t>
            </w:r>
            <w:proofErr w:type="spellEnd"/>
            <w:r w:rsidRPr="004C3008">
              <w:rPr>
                <w:szCs w:val="24"/>
              </w:rPr>
              <w:t xml:space="preserve"> pagrindinėje mokykloje</w:t>
            </w:r>
            <w:r w:rsidR="00924C3B">
              <w:rPr>
                <w:szCs w:val="24"/>
              </w:rPr>
              <w:t>,</w:t>
            </w:r>
            <w:r w:rsidRPr="004C3008">
              <w:rPr>
                <w:szCs w:val="24"/>
              </w:rPr>
              <w:t xml:space="preserve"> vertinant mokinių </w:t>
            </w:r>
            <w:r>
              <w:rPr>
                <w:szCs w:val="24"/>
              </w:rPr>
              <w:t xml:space="preserve">      </w:t>
            </w:r>
            <w:r w:rsidRPr="004C3008">
              <w:rPr>
                <w:szCs w:val="24"/>
              </w:rPr>
              <w:t>mokymo(-</w:t>
            </w:r>
            <w:proofErr w:type="spellStart"/>
            <w:r w:rsidRPr="004C3008">
              <w:rPr>
                <w:szCs w:val="24"/>
              </w:rPr>
              <w:t>si</w:t>
            </w:r>
            <w:proofErr w:type="spellEnd"/>
            <w:r w:rsidRPr="004C3008">
              <w:rPr>
                <w:szCs w:val="24"/>
              </w:rPr>
              <w:t>) ir ugdymo(-</w:t>
            </w:r>
            <w:proofErr w:type="spellStart"/>
            <w:r w:rsidRPr="004C3008">
              <w:rPr>
                <w:szCs w:val="24"/>
              </w:rPr>
              <w:t>si</w:t>
            </w:r>
            <w:proofErr w:type="spellEnd"/>
            <w:r w:rsidRPr="004C3008">
              <w:rPr>
                <w:szCs w:val="24"/>
              </w:rPr>
              <w:t xml:space="preserve">) pasiekimus ir pažangą, vadovaujamasi mokyklos direktoriaus įsakymu patvirtinta </w:t>
            </w:r>
            <w:r w:rsidR="00600799">
              <w:rPr>
                <w:szCs w:val="24"/>
              </w:rPr>
              <w:t>„</w:t>
            </w:r>
            <w:r w:rsidRPr="004C3008">
              <w:rPr>
                <w:szCs w:val="24"/>
              </w:rPr>
              <w:t xml:space="preserve">Mokinių pažangos ir pasiekimų vertinimo ir įsivertinimo tvarka“, kuri, reikalui esant, yra atnaujinama. Kiekvieno pusmečio pabaigoje parengiamos klasių ir bendra mokyklos ugdymosi rezultatų suvestinės. Rezultatai aptariami mokytojų tarybos posėdyje, priimami nutarimai dėl konsultacijų </w:t>
            </w:r>
            <w:r w:rsidRPr="004C3008">
              <w:rPr>
                <w:szCs w:val="24"/>
              </w:rPr>
              <w:lastRenderedPageBreak/>
              <w:t>mokiniams, turintiems mokymosi sunkumų. Pagal mokymosi rezultatus ir mokinių poreikius sudaroma galimybė rengti dalykų modulių programas, skirtas dalyko žinių gilinimui arba mokymosi sunkumams įveikti. Mokinių pasiekimų pažangos stebėsena vykdoma kas mėnesį, su ugdymo(-</w:t>
            </w:r>
            <w:proofErr w:type="spellStart"/>
            <w:r w:rsidRPr="004C3008">
              <w:rPr>
                <w:szCs w:val="24"/>
              </w:rPr>
              <w:t>si</w:t>
            </w:r>
            <w:proofErr w:type="spellEnd"/>
            <w:r w:rsidRPr="004C3008">
              <w:rPr>
                <w:szCs w:val="24"/>
              </w:rPr>
              <w:t>) pasiekimų rezultatais supažindinami tėvai (globėjai, rūpintojai).</w:t>
            </w:r>
          </w:p>
        </w:tc>
      </w:tr>
      <w:tr w:rsidR="00422C32" w:rsidRPr="00CA31BC" w14:paraId="10C98940" w14:textId="77777777" w:rsidTr="00290330">
        <w:trPr>
          <w:gridAfter w:val="1"/>
          <w:wAfter w:w="236" w:type="dxa"/>
          <w:trHeight w:val="542"/>
        </w:trPr>
        <w:tc>
          <w:tcPr>
            <w:tcW w:w="2666" w:type="dxa"/>
            <w:vMerge/>
            <w:tcBorders>
              <w:left w:val="single" w:sz="4" w:space="0" w:color="auto"/>
              <w:bottom w:val="single" w:sz="4" w:space="0" w:color="auto"/>
              <w:right w:val="single" w:sz="4" w:space="0" w:color="auto"/>
            </w:tcBorders>
          </w:tcPr>
          <w:p w14:paraId="0E5C54FC"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735042B" w14:textId="77777777" w:rsidR="00422C32" w:rsidRPr="004C3008" w:rsidRDefault="00422C32" w:rsidP="00290330">
            <w:pPr>
              <w:jc w:val="both"/>
              <w:rPr>
                <w:szCs w:val="24"/>
                <w:lang w:eastAsia="en-US"/>
              </w:rPr>
            </w:pPr>
            <w:r w:rsidRPr="004C3008">
              <w:rPr>
                <w:szCs w:val="24"/>
                <w:lang w:eastAsia="en-US"/>
              </w:rPr>
              <w:t>2023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17ED9714" w14:textId="77777777" w:rsidR="00422C32" w:rsidRPr="004C3008" w:rsidRDefault="00422C32" w:rsidP="00290330">
            <w:pPr>
              <w:ind w:firstLine="567"/>
              <w:jc w:val="both"/>
              <w:rPr>
                <w:szCs w:val="24"/>
              </w:rPr>
            </w:pPr>
            <w:r w:rsidRPr="004C3008">
              <w:rPr>
                <w:szCs w:val="24"/>
              </w:rPr>
              <w:t xml:space="preserve">Mokykloje veikė meninės raiškos, sportinės krypties, techninės kūrybos ugdymo būreliai. 2023 m., kaip ir kasmet, mokykla panaudojo visas pagal bendruosius ugdymo planus skirtas valandas. Mokykloje veikė 9 būreliai. Būrelius lankė 78 % mokinių, iš jų 36 % mokinių lankė du ir daugiau būrelių. Mokykloje ypač populiari sportinė kryptis. Džiugu, kad sportinėje veikloje (futbolo, stalo teniso ir kitose sporto šakose) mokiniai pasiekė aukštų rezultatų. </w:t>
            </w:r>
          </w:p>
        </w:tc>
      </w:tr>
      <w:tr w:rsidR="00422C32" w:rsidRPr="00CA31BC" w14:paraId="1690A426"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1EA30B75" w14:textId="77777777" w:rsidR="00422C32" w:rsidRPr="004C3008" w:rsidRDefault="00422C32" w:rsidP="00290330">
            <w:pPr>
              <w:jc w:val="both"/>
              <w:rPr>
                <w:szCs w:val="24"/>
                <w:lang w:eastAsia="en-US"/>
              </w:rPr>
            </w:pPr>
            <w:r w:rsidRPr="004C3008">
              <w:rPr>
                <w:szCs w:val="24"/>
                <w:lang w:eastAsia="en-US"/>
              </w:rPr>
              <w:t>Patyčių ir smurto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6FFB4B9C" w14:textId="77777777" w:rsidR="00422C32" w:rsidRPr="004C3008" w:rsidRDefault="00422C32" w:rsidP="00290330">
            <w:pPr>
              <w:ind w:firstLine="567"/>
              <w:jc w:val="both"/>
              <w:rPr>
                <w:szCs w:val="24"/>
                <w:lang w:eastAsia="en-US"/>
              </w:rPr>
            </w:pPr>
            <w:r w:rsidRPr="004C3008">
              <w:rPr>
                <w:szCs w:val="24"/>
              </w:rPr>
              <w:t xml:space="preserve">Mokykloje veikia Vaiko gerovės komisija. 2023 m. buvo nustatyta 11 nežymių patyčių atvejų. 1–4 klasėse buvo vykdomos socialinių ir emocinių įgūdžių ugdymo programos. 2023 m. 5–10 klasėse vykdomos prevencinės programos: </w:t>
            </w:r>
            <w:r w:rsidR="00600799">
              <w:rPr>
                <w:szCs w:val="24"/>
              </w:rPr>
              <w:t>„</w:t>
            </w:r>
            <w:r w:rsidRPr="004C3008">
              <w:rPr>
                <w:szCs w:val="24"/>
              </w:rPr>
              <w:t xml:space="preserve">Raktai į sėkmę“ (9–10 kl.), </w:t>
            </w:r>
            <w:r w:rsidR="00600799">
              <w:rPr>
                <w:szCs w:val="24"/>
              </w:rPr>
              <w:t>„</w:t>
            </w:r>
            <w:r w:rsidRPr="004C3008">
              <w:rPr>
                <w:szCs w:val="24"/>
              </w:rPr>
              <w:t>Paauglystės kryžkelės“ (5–8 kl.).</w:t>
            </w:r>
          </w:p>
        </w:tc>
      </w:tr>
      <w:tr w:rsidR="00422C32" w:rsidRPr="00CA31BC" w14:paraId="45853688"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45F5FEAD" w14:textId="77777777" w:rsidR="00422C32" w:rsidRPr="004C3008" w:rsidRDefault="00422C32" w:rsidP="00290330">
            <w:pPr>
              <w:jc w:val="both"/>
              <w:rPr>
                <w:szCs w:val="24"/>
                <w:lang w:eastAsia="en-US"/>
              </w:rPr>
            </w:pPr>
            <w:r w:rsidRPr="004C3008">
              <w:rPr>
                <w:szCs w:val="24"/>
                <w:lang w:eastAsia="en-US"/>
              </w:rPr>
              <w:t>Korupcijos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09380785" w14:textId="77777777" w:rsidR="00422C32" w:rsidRPr="004C3008" w:rsidRDefault="00422C32" w:rsidP="00290330">
            <w:pPr>
              <w:ind w:firstLine="567"/>
              <w:jc w:val="both"/>
              <w:rPr>
                <w:rFonts w:eastAsia="Calibri"/>
                <w:szCs w:val="24"/>
              </w:rPr>
            </w:pPr>
            <w:r w:rsidRPr="004C3008">
              <w:rPr>
                <w:szCs w:val="24"/>
              </w:rPr>
              <w:t>Mokykloje yra paskirtas atsakingas žmogus už korupcijos prevencij</w:t>
            </w:r>
            <w:r>
              <w:rPr>
                <w:szCs w:val="24"/>
              </w:rPr>
              <w:t>os vykdymą.</w:t>
            </w:r>
            <w:r w:rsidRPr="004C3008">
              <w:rPr>
                <w:szCs w:val="24"/>
              </w:rPr>
              <w:t xml:space="preserve"> Parengtas 2023 metų veiklos planas. Pagal galimybes korupcijos prevencijos programa yra integruojama į ugdymo procesą. Kiekvienais metais paminima </w:t>
            </w:r>
            <w:r w:rsidRPr="00544D73">
              <w:rPr>
                <w:szCs w:val="24"/>
              </w:rPr>
              <w:t xml:space="preserve">Antikorupcijos diena. </w:t>
            </w:r>
            <w:r w:rsidRPr="004C3008">
              <w:rPr>
                <w:szCs w:val="24"/>
              </w:rPr>
              <w:t>Informacija apie korupcijos prevencijos renginius yra skelbiama mokyklos internet</w:t>
            </w:r>
            <w:r w:rsidR="00600799">
              <w:rPr>
                <w:szCs w:val="24"/>
              </w:rPr>
              <w:t>o</w:t>
            </w:r>
            <w:r w:rsidRPr="004C3008">
              <w:rPr>
                <w:szCs w:val="24"/>
              </w:rPr>
              <w:t xml:space="preserve"> svetainėje ir mokyklos informaciniuose stenduose.</w:t>
            </w:r>
          </w:p>
        </w:tc>
      </w:tr>
      <w:tr w:rsidR="00422C32" w:rsidRPr="00CA31BC" w14:paraId="5BA0EB65" w14:textId="77777777" w:rsidTr="00290330">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2289E89C" w14:textId="77777777" w:rsidR="00422C32" w:rsidRPr="004C3008" w:rsidRDefault="00422C32" w:rsidP="00290330">
            <w:pPr>
              <w:jc w:val="both"/>
              <w:rPr>
                <w:szCs w:val="24"/>
                <w:lang w:eastAsia="en-US"/>
              </w:rPr>
            </w:pPr>
            <w:r w:rsidRPr="004C3008">
              <w:rPr>
                <w:szCs w:val="24"/>
                <w:lang w:eastAsia="en-US"/>
              </w:rPr>
              <w:t>Įstaigos veiklos  vertinimas</w:t>
            </w:r>
          </w:p>
        </w:tc>
        <w:tc>
          <w:tcPr>
            <w:tcW w:w="2860" w:type="dxa"/>
            <w:tcBorders>
              <w:top w:val="single" w:sz="4" w:space="0" w:color="auto"/>
              <w:left w:val="single" w:sz="4" w:space="0" w:color="auto"/>
              <w:right w:val="single" w:sz="4" w:space="0" w:color="auto"/>
            </w:tcBorders>
          </w:tcPr>
          <w:p w14:paraId="1FAD5D0D" w14:textId="77777777" w:rsidR="00422C32" w:rsidRPr="004C3008" w:rsidRDefault="00422C32" w:rsidP="00290330">
            <w:pPr>
              <w:jc w:val="both"/>
              <w:rPr>
                <w:szCs w:val="24"/>
                <w:lang w:eastAsia="en-US"/>
              </w:rPr>
            </w:pPr>
            <w:r w:rsidRPr="004C3008">
              <w:rPr>
                <w:szCs w:val="24"/>
                <w:lang w:eastAsia="en-US"/>
              </w:rPr>
              <w:t>Išorinis įstaigos vertinimas ir gautų duomenų naudojimas veiklai tobulinti</w:t>
            </w:r>
          </w:p>
        </w:tc>
        <w:tc>
          <w:tcPr>
            <w:tcW w:w="9075" w:type="dxa"/>
            <w:gridSpan w:val="3"/>
            <w:tcBorders>
              <w:top w:val="single" w:sz="4" w:space="0" w:color="auto"/>
              <w:left w:val="single" w:sz="4" w:space="0" w:color="auto"/>
              <w:right w:val="single" w:sz="4" w:space="0" w:color="auto"/>
            </w:tcBorders>
          </w:tcPr>
          <w:p w14:paraId="58D76DEC" w14:textId="77777777" w:rsidR="00422C32" w:rsidRPr="004C3008" w:rsidRDefault="00422C32" w:rsidP="00290330">
            <w:pPr>
              <w:jc w:val="both"/>
              <w:rPr>
                <w:szCs w:val="24"/>
              </w:rPr>
            </w:pPr>
            <w:r w:rsidRPr="004C3008">
              <w:rPr>
                <w:szCs w:val="24"/>
              </w:rPr>
              <w:t>2023 m. mokyklos išorinio vertinimo nebuvo.</w:t>
            </w:r>
          </w:p>
        </w:tc>
      </w:tr>
      <w:tr w:rsidR="00422C32" w:rsidRPr="00CA31BC" w14:paraId="67628DE5" w14:textId="77777777" w:rsidTr="00290330">
        <w:trPr>
          <w:trHeight w:val="897"/>
        </w:trPr>
        <w:tc>
          <w:tcPr>
            <w:tcW w:w="2666" w:type="dxa"/>
            <w:vMerge w:val="restart"/>
            <w:tcBorders>
              <w:top w:val="single" w:sz="4" w:space="0" w:color="auto"/>
              <w:left w:val="single" w:sz="4" w:space="0" w:color="auto"/>
              <w:right w:val="single" w:sz="4" w:space="0" w:color="auto"/>
            </w:tcBorders>
          </w:tcPr>
          <w:p w14:paraId="47737AC7" w14:textId="77777777" w:rsidR="00422C32" w:rsidRPr="004C3008" w:rsidRDefault="00422C32" w:rsidP="00290330">
            <w:pPr>
              <w:rPr>
                <w:color w:val="000000"/>
                <w:szCs w:val="24"/>
                <w:lang w:eastAsia="en-US"/>
              </w:rPr>
            </w:pPr>
            <w:r w:rsidRPr="004C3008">
              <w:rPr>
                <w:szCs w:val="24"/>
                <w:lang w:eastAsia="en-US"/>
              </w:rPr>
              <w:t xml:space="preserve">Įstaigos </w:t>
            </w:r>
            <w:r w:rsidRPr="004C3008">
              <w:rPr>
                <w:color w:val="000000"/>
                <w:szCs w:val="24"/>
                <w:lang w:eastAsia="en-US"/>
              </w:rPr>
              <w:t>problemos ir</w:t>
            </w:r>
          </w:p>
          <w:p w14:paraId="3439EC26" w14:textId="77777777" w:rsidR="00422C32" w:rsidRPr="004C3008" w:rsidRDefault="00422C32" w:rsidP="00290330">
            <w:pPr>
              <w:rPr>
                <w:color w:val="000000"/>
                <w:szCs w:val="24"/>
                <w:lang w:eastAsia="en-US"/>
              </w:rPr>
            </w:pPr>
            <w:r w:rsidRPr="004C3008">
              <w:rPr>
                <w:color w:val="000000"/>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2D254F10" w14:textId="77777777" w:rsidR="00422C32" w:rsidRPr="004C3008" w:rsidRDefault="00422C32" w:rsidP="00290330">
            <w:pPr>
              <w:jc w:val="both"/>
              <w:rPr>
                <w:szCs w:val="24"/>
                <w:lang w:eastAsia="en-US"/>
              </w:rPr>
            </w:pPr>
            <w:r w:rsidRPr="004C3008">
              <w:rPr>
                <w:szCs w:val="24"/>
                <w:lang w:eastAsia="en-US"/>
              </w:rPr>
              <w:t xml:space="preserve">2022 m. mokyklos veiklos ataskaitoje nurodytų problemų (iš)sprendimas </w:t>
            </w:r>
          </w:p>
        </w:tc>
        <w:tc>
          <w:tcPr>
            <w:tcW w:w="8649" w:type="dxa"/>
            <w:gridSpan w:val="2"/>
            <w:tcBorders>
              <w:top w:val="single" w:sz="4" w:space="0" w:color="auto"/>
              <w:left w:val="single" w:sz="4" w:space="0" w:color="auto"/>
              <w:right w:val="single" w:sz="4" w:space="0" w:color="auto"/>
            </w:tcBorders>
          </w:tcPr>
          <w:p w14:paraId="0B56E9D0" w14:textId="77777777" w:rsidR="00422C32" w:rsidRPr="004C3008" w:rsidRDefault="00422C32" w:rsidP="00290330">
            <w:pPr>
              <w:jc w:val="both"/>
              <w:rPr>
                <w:bCs/>
                <w:szCs w:val="24"/>
                <w:lang w:eastAsia="en-US"/>
              </w:rPr>
            </w:pPr>
            <w:r w:rsidRPr="004C3008">
              <w:rPr>
                <w:rFonts w:eastAsia="Calibri"/>
                <w:szCs w:val="24"/>
                <w:lang w:eastAsia="en-US"/>
              </w:rPr>
              <w:t>Nuo 2023-09-01 patvirtinta nauja mokinių lankomumo tvarka.</w:t>
            </w:r>
          </w:p>
        </w:tc>
        <w:tc>
          <w:tcPr>
            <w:tcW w:w="236" w:type="dxa"/>
            <w:vMerge w:val="restart"/>
            <w:tcBorders>
              <w:top w:val="nil"/>
              <w:bottom w:val="nil"/>
              <w:right w:val="nil"/>
            </w:tcBorders>
          </w:tcPr>
          <w:p w14:paraId="2054919A" w14:textId="77777777" w:rsidR="00422C32" w:rsidRPr="00CA31BC" w:rsidRDefault="00422C32" w:rsidP="00290330">
            <w:pPr>
              <w:rPr>
                <w:rFonts w:eastAsia="Calibri"/>
                <w:szCs w:val="24"/>
                <w:lang w:eastAsia="en-US"/>
              </w:rPr>
            </w:pPr>
          </w:p>
        </w:tc>
      </w:tr>
      <w:tr w:rsidR="00422C32" w:rsidRPr="00CA31BC" w14:paraId="1639E92F" w14:textId="77777777" w:rsidTr="00290330">
        <w:trPr>
          <w:trHeight w:val="473"/>
        </w:trPr>
        <w:tc>
          <w:tcPr>
            <w:tcW w:w="2666" w:type="dxa"/>
            <w:vMerge/>
            <w:tcBorders>
              <w:left w:val="single" w:sz="4" w:space="0" w:color="auto"/>
              <w:right w:val="single" w:sz="4" w:space="0" w:color="auto"/>
            </w:tcBorders>
          </w:tcPr>
          <w:p w14:paraId="4AEA78EF"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02E5480" w14:textId="77777777" w:rsidR="00422C32" w:rsidRPr="004C3008" w:rsidRDefault="00422C32" w:rsidP="00290330">
            <w:pPr>
              <w:jc w:val="both"/>
              <w:rPr>
                <w:szCs w:val="24"/>
                <w:lang w:eastAsia="en-US"/>
              </w:rPr>
            </w:pPr>
            <w:r w:rsidRPr="004C3008">
              <w:rPr>
                <w:color w:val="000000"/>
                <w:szCs w:val="24"/>
                <w:lang w:eastAsia="en-US"/>
              </w:rPr>
              <w:t>Esamos mokyklos problemos ir jų sprendimas</w:t>
            </w:r>
          </w:p>
        </w:tc>
        <w:tc>
          <w:tcPr>
            <w:tcW w:w="8649" w:type="dxa"/>
            <w:gridSpan w:val="2"/>
            <w:tcBorders>
              <w:left w:val="single" w:sz="4" w:space="0" w:color="auto"/>
              <w:bottom w:val="single" w:sz="4" w:space="0" w:color="auto"/>
              <w:right w:val="single" w:sz="4" w:space="0" w:color="auto"/>
            </w:tcBorders>
          </w:tcPr>
          <w:p w14:paraId="2C6C66A7" w14:textId="77777777" w:rsidR="00422C32" w:rsidRPr="004C3008" w:rsidRDefault="00422C32" w:rsidP="00290330">
            <w:pPr>
              <w:tabs>
                <w:tab w:val="left" w:pos="319"/>
              </w:tabs>
              <w:jc w:val="both"/>
              <w:rPr>
                <w:szCs w:val="24"/>
                <w:lang w:eastAsia="en-US"/>
              </w:rPr>
            </w:pPr>
            <w:r w:rsidRPr="004C3008">
              <w:rPr>
                <w:rFonts w:eastAsia="Calibri"/>
                <w:szCs w:val="24"/>
                <w:lang w:eastAsia="en-US"/>
              </w:rPr>
              <w:t>Mokinių skaičiaus mažėjimas, dėl kurio gali sumažėti klasių komplektų skaičius.</w:t>
            </w:r>
          </w:p>
        </w:tc>
        <w:tc>
          <w:tcPr>
            <w:tcW w:w="236" w:type="dxa"/>
            <w:vMerge/>
            <w:tcBorders>
              <w:top w:val="nil"/>
              <w:bottom w:val="nil"/>
              <w:right w:val="nil"/>
            </w:tcBorders>
          </w:tcPr>
          <w:p w14:paraId="55AAD854" w14:textId="77777777" w:rsidR="00422C32" w:rsidRPr="00CA31BC" w:rsidRDefault="00422C32" w:rsidP="00290330">
            <w:pPr>
              <w:jc w:val="center"/>
              <w:rPr>
                <w:rFonts w:eastAsia="Calibri"/>
                <w:szCs w:val="24"/>
                <w:lang w:eastAsia="en-US"/>
              </w:rPr>
            </w:pPr>
          </w:p>
        </w:tc>
      </w:tr>
      <w:tr w:rsidR="00422C32" w:rsidRPr="00CA31BC" w14:paraId="1BE0DF0D" w14:textId="77777777" w:rsidTr="00290330">
        <w:trPr>
          <w:gridAfter w:val="1"/>
          <w:wAfter w:w="236" w:type="dxa"/>
          <w:trHeight w:val="559"/>
        </w:trPr>
        <w:tc>
          <w:tcPr>
            <w:tcW w:w="2666" w:type="dxa"/>
            <w:vMerge/>
            <w:tcBorders>
              <w:left w:val="single" w:sz="4" w:space="0" w:color="auto"/>
              <w:bottom w:val="single" w:sz="4" w:space="0" w:color="auto"/>
              <w:right w:val="single" w:sz="4" w:space="0" w:color="auto"/>
            </w:tcBorders>
          </w:tcPr>
          <w:p w14:paraId="46B35B4F" w14:textId="77777777" w:rsidR="00422C32" w:rsidRPr="004C3008" w:rsidRDefault="00422C32"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9C2B81E" w14:textId="77777777" w:rsidR="00422C32" w:rsidRPr="004C3008" w:rsidRDefault="00422C32" w:rsidP="00290330">
            <w:pPr>
              <w:rPr>
                <w:szCs w:val="24"/>
                <w:lang w:eastAsia="en-US"/>
              </w:rPr>
            </w:pPr>
            <w:r w:rsidRPr="004C3008">
              <w:rPr>
                <w:szCs w:val="24"/>
                <w:lang w:eastAsia="en-US"/>
              </w:rPr>
              <w:t>Galimos (tikėtinos) mokyklos 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6E1E4F9B" w14:textId="77777777" w:rsidR="00422C32" w:rsidRPr="004C3008" w:rsidRDefault="00422C32" w:rsidP="00290330">
            <w:pPr>
              <w:tabs>
                <w:tab w:val="left" w:pos="319"/>
              </w:tabs>
              <w:jc w:val="both"/>
              <w:rPr>
                <w:rFonts w:eastAsia="Calibri"/>
                <w:szCs w:val="24"/>
                <w:lang w:eastAsia="en-US"/>
              </w:rPr>
            </w:pPr>
            <w:r w:rsidRPr="004C3008">
              <w:rPr>
                <w:rFonts w:eastAsia="Calibri"/>
                <w:szCs w:val="24"/>
                <w:lang w:eastAsia="en-US"/>
              </w:rPr>
              <w:t>Nuo 2024-09-01 mokykla tampa Jurbarko r. Veliuonos Antano ir Jono Juškų gimnazijos skyriumi.</w:t>
            </w:r>
          </w:p>
        </w:tc>
      </w:tr>
      <w:tr w:rsidR="00422C32" w:rsidRPr="00CA31BC" w14:paraId="621D93CE"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1CD9C560" w14:textId="77777777" w:rsidR="00422C32" w:rsidRPr="004C3008" w:rsidRDefault="00422C32" w:rsidP="00290330">
            <w:pPr>
              <w:rPr>
                <w:color w:val="000000"/>
                <w:szCs w:val="24"/>
                <w:lang w:eastAsia="en-US"/>
              </w:rPr>
            </w:pPr>
            <w:r w:rsidRPr="004C3008">
              <w:rPr>
                <w:color w:val="000000"/>
                <w:szCs w:val="24"/>
                <w:lang w:eastAsia="en-US"/>
              </w:rPr>
              <w:t>Metų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6975AA92" w14:textId="77777777" w:rsidR="00422C32" w:rsidRPr="004C3008" w:rsidRDefault="00422C32" w:rsidP="00290330">
            <w:pPr>
              <w:jc w:val="both"/>
              <w:rPr>
                <w:bCs/>
                <w:color w:val="000000"/>
                <w:szCs w:val="24"/>
                <w:lang w:eastAsia="en-US"/>
              </w:rPr>
            </w:pPr>
            <w:r w:rsidRPr="004C3008">
              <w:rPr>
                <w:rFonts w:eastAsia="Calibri"/>
                <w:szCs w:val="24"/>
                <w:lang w:eastAsia="en-US"/>
              </w:rPr>
              <w:t xml:space="preserve">2023 metų veiklos ataskaita aptarta jungtiniame </w:t>
            </w:r>
            <w:r w:rsidR="00600799">
              <w:rPr>
                <w:rFonts w:eastAsia="Calibri"/>
                <w:szCs w:val="24"/>
                <w:lang w:eastAsia="en-US"/>
              </w:rPr>
              <w:t>M</w:t>
            </w:r>
            <w:r w:rsidRPr="004C3008">
              <w:rPr>
                <w:rFonts w:eastAsia="Calibri"/>
                <w:szCs w:val="24"/>
                <w:lang w:eastAsia="en-US"/>
              </w:rPr>
              <w:t>okyklos tarybos ir mokytojų tarybos posėdyje 2024 m. kovo 13 d., protokolas Nr. 2.</w:t>
            </w:r>
          </w:p>
        </w:tc>
      </w:tr>
      <w:tr w:rsidR="00422C32" w:rsidRPr="00CA31BC" w14:paraId="2887384E" w14:textId="77777777" w:rsidTr="00290330">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23BC2DD7" w14:textId="77777777" w:rsidR="00422C32" w:rsidRPr="004C3008" w:rsidRDefault="00422C32" w:rsidP="00290330">
            <w:pPr>
              <w:rPr>
                <w:bCs/>
                <w:szCs w:val="24"/>
                <w:lang w:eastAsia="en-US"/>
              </w:rPr>
            </w:pPr>
            <w:r w:rsidRPr="004C3008">
              <w:rPr>
                <w:szCs w:val="24"/>
                <w:lang w:eastAsia="en-US"/>
              </w:rPr>
              <w:lastRenderedPageBreak/>
              <w:t>Papildoma informacija apie įstaigą</w:t>
            </w:r>
          </w:p>
        </w:tc>
        <w:tc>
          <w:tcPr>
            <w:tcW w:w="4310" w:type="dxa"/>
            <w:gridSpan w:val="3"/>
            <w:tcBorders>
              <w:top w:val="single" w:sz="4" w:space="0" w:color="auto"/>
              <w:left w:val="single" w:sz="4" w:space="0" w:color="auto"/>
              <w:bottom w:val="single" w:sz="4" w:space="0" w:color="auto"/>
              <w:right w:val="single" w:sz="4" w:space="0" w:color="auto"/>
            </w:tcBorders>
          </w:tcPr>
          <w:p w14:paraId="05374915" w14:textId="77777777" w:rsidR="00422C32" w:rsidRPr="004C3008" w:rsidRDefault="00422C32" w:rsidP="00290330">
            <w:pPr>
              <w:jc w:val="both"/>
              <w:rPr>
                <w:bCs/>
                <w:szCs w:val="24"/>
                <w:lang w:eastAsia="en-US"/>
              </w:rPr>
            </w:pPr>
            <w:r w:rsidRPr="004C3008">
              <w:rPr>
                <w:szCs w:val="24"/>
                <w:lang w:eastAsia="en-US"/>
              </w:rPr>
              <w:t>Informacijos apie įstaigos veiklą sklaida</w:t>
            </w:r>
          </w:p>
        </w:tc>
        <w:tc>
          <w:tcPr>
            <w:tcW w:w="7625" w:type="dxa"/>
            <w:tcBorders>
              <w:top w:val="single" w:sz="4" w:space="0" w:color="auto"/>
              <w:left w:val="single" w:sz="4" w:space="0" w:color="auto"/>
              <w:bottom w:val="single" w:sz="4" w:space="0" w:color="auto"/>
              <w:right w:val="single" w:sz="4" w:space="0" w:color="auto"/>
            </w:tcBorders>
          </w:tcPr>
          <w:p w14:paraId="34FB520B" w14:textId="77777777" w:rsidR="00422C32" w:rsidRPr="004D3683" w:rsidRDefault="00422C32" w:rsidP="00290330">
            <w:pPr>
              <w:ind w:firstLine="567"/>
              <w:jc w:val="both"/>
              <w:rPr>
                <w:szCs w:val="24"/>
              </w:rPr>
            </w:pPr>
            <w:r w:rsidRPr="004C3008">
              <w:rPr>
                <w:szCs w:val="24"/>
              </w:rPr>
              <w:t xml:space="preserve">Informacija apie mokyklos veiklą pateikiama respublikinėje ir rajoninėje spaudoje bei mokyklos bendruomenei skirtame laikraštyje </w:t>
            </w:r>
            <w:r w:rsidR="00600799">
              <w:rPr>
                <w:szCs w:val="24"/>
              </w:rPr>
              <w:t>„</w:t>
            </w:r>
            <w:r w:rsidRPr="004C3008">
              <w:rPr>
                <w:szCs w:val="24"/>
              </w:rPr>
              <w:t>Upelė“, lankstinukuose apie mokyklos veiklą ir pasiekimus.</w:t>
            </w:r>
          </w:p>
        </w:tc>
      </w:tr>
      <w:tr w:rsidR="00422C32" w:rsidRPr="00CA31BC" w14:paraId="3FEF3263" w14:textId="77777777" w:rsidTr="00290330">
        <w:trPr>
          <w:gridAfter w:val="1"/>
          <w:wAfter w:w="236" w:type="dxa"/>
          <w:trHeight w:val="285"/>
        </w:trPr>
        <w:tc>
          <w:tcPr>
            <w:tcW w:w="2666" w:type="dxa"/>
            <w:vMerge/>
            <w:tcBorders>
              <w:left w:val="single" w:sz="4" w:space="0" w:color="auto"/>
              <w:right w:val="single" w:sz="4" w:space="0" w:color="auto"/>
            </w:tcBorders>
          </w:tcPr>
          <w:p w14:paraId="6687C6AD" w14:textId="77777777" w:rsidR="00422C32" w:rsidRPr="004C3008" w:rsidRDefault="00422C32"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01DDB97C" w14:textId="77777777" w:rsidR="00422C32" w:rsidRPr="004C3008" w:rsidRDefault="00422C32" w:rsidP="00290330">
            <w:pPr>
              <w:rPr>
                <w:szCs w:val="24"/>
                <w:lang w:eastAsia="en-US"/>
              </w:rPr>
            </w:pPr>
            <w:r w:rsidRPr="004C3008">
              <w:rPr>
                <w:szCs w:val="24"/>
                <w:lang w:eastAsia="en-US"/>
              </w:rPr>
              <w:t>Įstaigos partneriai</w:t>
            </w:r>
          </w:p>
          <w:p w14:paraId="32218D55" w14:textId="77777777" w:rsidR="00422C32" w:rsidRPr="004C3008" w:rsidRDefault="00422C32" w:rsidP="00290330">
            <w:pPr>
              <w:rPr>
                <w:szCs w:val="24"/>
                <w:lang w:eastAsia="en-US"/>
              </w:rPr>
            </w:pPr>
            <w:r w:rsidRPr="004C3008">
              <w:rPr>
                <w:szCs w:val="24"/>
                <w:lang w:eastAsia="en-US"/>
              </w:rPr>
              <w:t>Bendradarbiavimo su mokinių tėvais (globėjais, rūpintojais) ir socialiniais partneriais formos</w:t>
            </w:r>
          </w:p>
          <w:p w14:paraId="4C37D411" w14:textId="77777777" w:rsidR="00422C32" w:rsidRPr="004C3008" w:rsidRDefault="00422C32" w:rsidP="00290330">
            <w:pPr>
              <w:jc w:val="both"/>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14CF6705" w14:textId="77777777" w:rsidR="00422C32" w:rsidRPr="004C3008" w:rsidRDefault="00422C32" w:rsidP="00290330">
            <w:pPr>
              <w:ind w:firstLine="567"/>
              <w:jc w:val="both"/>
              <w:rPr>
                <w:szCs w:val="24"/>
              </w:rPr>
            </w:pPr>
            <w:r w:rsidRPr="004C3008">
              <w:rPr>
                <w:szCs w:val="24"/>
              </w:rPr>
              <w:t xml:space="preserve">Mokyklos partneriai išliko tie patys, kurie buvo nurodyti 2022 metų veiklos ataskaitoje.  </w:t>
            </w:r>
          </w:p>
          <w:p w14:paraId="73AFF24C" w14:textId="77777777" w:rsidR="00422C32" w:rsidRPr="004C3008" w:rsidRDefault="00422C32" w:rsidP="00290330">
            <w:pPr>
              <w:ind w:firstLine="567"/>
              <w:jc w:val="both"/>
              <w:rPr>
                <w:szCs w:val="24"/>
              </w:rPr>
            </w:pPr>
            <w:r w:rsidRPr="004C3008">
              <w:rPr>
                <w:szCs w:val="24"/>
              </w:rPr>
              <w:t>2023 m. mokinių tėvai (globėjai, rūpintojai) dalyvavo tradiciniuose mokyklos organizuojamuose renginiuose, viktorinose, sporto varžybose (kartu su mokiniais ir mokytojais). Pagal atskirą planą mokykloje buvo organizuojamas pedagoginis tėvų švietimas, teikiama pedagoginė, psichologinė ir socialinė pagalba.</w:t>
            </w:r>
          </w:p>
        </w:tc>
      </w:tr>
      <w:tr w:rsidR="00422C32" w:rsidRPr="00CA31BC" w14:paraId="4659ECA9" w14:textId="77777777" w:rsidTr="00290330">
        <w:trPr>
          <w:gridAfter w:val="1"/>
          <w:wAfter w:w="236" w:type="dxa"/>
          <w:trHeight w:val="285"/>
        </w:trPr>
        <w:tc>
          <w:tcPr>
            <w:tcW w:w="2666" w:type="dxa"/>
            <w:vMerge/>
            <w:tcBorders>
              <w:left w:val="single" w:sz="4" w:space="0" w:color="auto"/>
              <w:right w:val="single" w:sz="4" w:space="0" w:color="auto"/>
            </w:tcBorders>
          </w:tcPr>
          <w:p w14:paraId="566CE5A4" w14:textId="77777777" w:rsidR="00422C32" w:rsidRPr="004C3008" w:rsidRDefault="00422C32"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AB2B113" w14:textId="77777777" w:rsidR="00422C32" w:rsidRPr="004C3008" w:rsidRDefault="00422C32" w:rsidP="00600799">
            <w:pPr>
              <w:rPr>
                <w:szCs w:val="24"/>
                <w:lang w:eastAsia="en-US"/>
              </w:rPr>
            </w:pPr>
            <w:r w:rsidRPr="004C3008">
              <w:rPr>
                <w:szCs w:val="24"/>
                <w:lang w:eastAsia="en-US"/>
              </w:rPr>
              <w:t>Įstaigos bendruomenės iniciatyvos</w:t>
            </w:r>
          </w:p>
        </w:tc>
        <w:tc>
          <w:tcPr>
            <w:tcW w:w="7625" w:type="dxa"/>
            <w:tcBorders>
              <w:top w:val="single" w:sz="4" w:space="0" w:color="auto"/>
              <w:left w:val="single" w:sz="4" w:space="0" w:color="auto"/>
              <w:bottom w:val="single" w:sz="4" w:space="0" w:color="auto"/>
              <w:right w:val="single" w:sz="4" w:space="0" w:color="auto"/>
            </w:tcBorders>
          </w:tcPr>
          <w:p w14:paraId="24400058" w14:textId="77777777" w:rsidR="00422C32" w:rsidRPr="004C3008" w:rsidRDefault="00422C32" w:rsidP="00290330">
            <w:pPr>
              <w:ind w:firstLine="567"/>
              <w:jc w:val="both"/>
              <w:rPr>
                <w:szCs w:val="24"/>
              </w:rPr>
            </w:pPr>
            <w:r w:rsidRPr="004C3008">
              <w:rPr>
                <w:szCs w:val="24"/>
              </w:rPr>
              <w:t>2023 m. mokyklos bendruomenė dalyvavo svarstant 2023 m. mokyklos veiklos planą, 2023–2024 ir 2024–2025 mokslo metų pradinio ir pagrindinio ugdymo programų ugdymo planus, išsakė savo nuomones dėl 1,2 % GPM paskirstymo ir panaudojimo, ugdymo priemonių ir vadovėlių užsakymo. Aktyviai dalyvavo svarstant Jurbarko rajono mokyklų tinklo pertvarkos plano 2021–2025 m. pakeitimo projektą.</w:t>
            </w:r>
          </w:p>
        </w:tc>
      </w:tr>
      <w:tr w:rsidR="00422C32" w:rsidRPr="00CA31BC" w14:paraId="40C16E28" w14:textId="77777777" w:rsidTr="00290330">
        <w:trPr>
          <w:gridAfter w:val="1"/>
          <w:wAfter w:w="236" w:type="dxa"/>
          <w:trHeight w:val="285"/>
        </w:trPr>
        <w:tc>
          <w:tcPr>
            <w:tcW w:w="2666" w:type="dxa"/>
            <w:vMerge/>
            <w:tcBorders>
              <w:left w:val="single" w:sz="4" w:space="0" w:color="auto"/>
              <w:bottom w:val="single" w:sz="4" w:space="0" w:color="auto"/>
              <w:right w:val="single" w:sz="4" w:space="0" w:color="auto"/>
            </w:tcBorders>
          </w:tcPr>
          <w:p w14:paraId="02D8EE2F" w14:textId="77777777" w:rsidR="00422C32" w:rsidRPr="004C3008" w:rsidRDefault="00422C32"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57362BEF" w14:textId="77777777" w:rsidR="00422C32" w:rsidRPr="004C3008" w:rsidRDefault="00422C32" w:rsidP="00290330">
            <w:pPr>
              <w:jc w:val="both"/>
              <w:rPr>
                <w:szCs w:val="24"/>
                <w:lang w:eastAsia="en-US"/>
              </w:rPr>
            </w:pPr>
            <w:r w:rsidRPr="004C3008">
              <w:rPr>
                <w:szCs w:val="24"/>
                <w:lang w:eastAsia="en-US"/>
              </w:rPr>
              <w:t>Kita informacija</w:t>
            </w:r>
            <w:r w:rsidR="00924C3B" w:rsidRPr="00CA31BC">
              <w:rPr>
                <w:szCs w:val="24"/>
                <w:lang w:eastAsia="en-US"/>
              </w:rPr>
              <w:t xml:space="preserve"> </w:t>
            </w:r>
          </w:p>
        </w:tc>
        <w:tc>
          <w:tcPr>
            <w:tcW w:w="7625" w:type="dxa"/>
            <w:tcBorders>
              <w:top w:val="single" w:sz="4" w:space="0" w:color="auto"/>
              <w:left w:val="single" w:sz="4" w:space="0" w:color="auto"/>
              <w:bottom w:val="single" w:sz="4" w:space="0" w:color="auto"/>
              <w:right w:val="single" w:sz="4" w:space="0" w:color="auto"/>
            </w:tcBorders>
          </w:tcPr>
          <w:p w14:paraId="544045C5" w14:textId="77777777" w:rsidR="00422C32" w:rsidRPr="004C3008" w:rsidRDefault="00422C32" w:rsidP="00290330">
            <w:pPr>
              <w:ind w:firstLine="567"/>
              <w:jc w:val="both"/>
              <w:rPr>
                <w:szCs w:val="24"/>
                <w:lang w:eastAsia="en-US"/>
              </w:rPr>
            </w:pPr>
            <w:r w:rsidRPr="004C3008">
              <w:rPr>
                <w:szCs w:val="24"/>
              </w:rPr>
              <w:t xml:space="preserve">Platesnę informaciją apie mokyklos veiklą galima rasti mokyklos interneto svetainėje </w:t>
            </w:r>
            <w:hyperlink w:history="1">
              <w:r w:rsidRPr="004D3683">
                <w:rPr>
                  <w:szCs w:val="24"/>
                </w:rPr>
                <w:t>www.santvaras.jurbarkas.lm.lt</w:t>
              </w:r>
            </w:hyperlink>
            <w:r w:rsidRPr="004D3683">
              <w:rPr>
                <w:szCs w:val="24"/>
              </w:rPr>
              <w:t>,</w:t>
            </w:r>
            <w:r w:rsidRPr="004C3008">
              <w:rPr>
                <w:szCs w:val="24"/>
              </w:rPr>
              <w:t xml:space="preserve"> mokyklos </w:t>
            </w:r>
            <w:r w:rsidR="00600799">
              <w:rPr>
                <w:szCs w:val="24"/>
              </w:rPr>
              <w:t>„</w:t>
            </w:r>
            <w:r w:rsidRPr="004C3008">
              <w:rPr>
                <w:szCs w:val="24"/>
              </w:rPr>
              <w:t xml:space="preserve">Facebook“ paskyroje, Jurbarko rajono savivaldybės svetainėje </w:t>
            </w:r>
            <w:hyperlink r:id="rId9" w:history="1">
              <w:r w:rsidRPr="004D3683">
                <w:rPr>
                  <w:szCs w:val="24"/>
                </w:rPr>
                <w:t>www.jurbarkas.lt</w:t>
              </w:r>
            </w:hyperlink>
            <w:r w:rsidR="00924C3B">
              <w:rPr>
                <w:szCs w:val="24"/>
              </w:rPr>
              <w:t>.</w:t>
            </w:r>
          </w:p>
        </w:tc>
      </w:tr>
    </w:tbl>
    <w:p w14:paraId="57ABDB55" w14:textId="77777777" w:rsidR="00422C32" w:rsidRPr="00924C3B" w:rsidRDefault="00422C32" w:rsidP="00422C32">
      <w:pPr>
        <w:rPr>
          <w:b/>
          <w:bCs/>
          <w:sz w:val="16"/>
          <w:szCs w:val="16"/>
          <w:lang w:eastAsia="en-US"/>
        </w:rPr>
      </w:pPr>
    </w:p>
    <w:tbl>
      <w:tblPr>
        <w:tblW w:w="145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4640"/>
        <w:gridCol w:w="3685"/>
        <w:gridCol w:w="3685"/>
      </w:tblGrid>
      <w:tr w:rsidR="005D0566" w:rsidRPr="00CA31BC" w14:paraId="6031D18C" w14:textId="77777777" w:rsidTr="005D0566">
        <w:trPr>
          <w:trHeight w:val="283"/>
        </w:trPr>
        <w:tc>
          <w:tcPr>
            <w:tcW w:w="2552" w:type="dxa"/>
            <w:vMerge w:val="restart"/>
            <w:tcBorders>
              <w:left w:val="single" w:sz="4" w:space="0" w:color="auto"/>
              <w:right w:val="single" w:sz="4" w:space="0" w:color="auto"/>
            </w:tcBorders>
          </w:tcPr>
          <w:p w14:paraId="770A2DCF" w14:textId="77777777" w:rsidR="005D0566" w:rsidRPr="00CA31BC" w:rsidRDefault="005D0566" w:rsidP="00290330">
            <w:pPr>
              <w:jc w:val="both"/>
              <w:rPr>
                <w:szCs w:val="24"/>
                <w:lang w:eastAsia="en-US"/>
              </w:rPr>
            </w:pPr>
            <w:r w:rsidRPr="00CA31BC">
              <w:rPr>
                <w:szCs w:val="24"/>
                <w:lang w:eastAsia="en-US"/>
              </w:rPr>
              <w:t>Žmogiškieji ištekliai ir socialinė aplinka (pagal 202</w:t>
            </w:r>
            <w:r>
              <w:rPr>
                <w:szCs w:val="24"/>
                <w:lang w:eastAsia="en-US"/>
              </w:rPr>
              <w:t>3</w:t>
            </w:r>
            <w:r w:rsidRPr="00CA31BC">
              <w:rPr>
                <w:szCs w:val="24"/>
                <w:lang w:eastAsia="en-US"/>
              </w:rPr>
              <w:t xml:space="preserve"> m. rugsėjo 1 d. statistiką)</w:t>
            </w:r>
          </w:p>
        </w:tc>
        <w:tc>
          <w:tcPr>
            <w:tcW w:w="4640" w:type="dxa"/>
            <w:tcBorders>
              <w:left w:val="single" w:sz="4" w:space="0" w:color="auto"/>
              <w:bottom w:val="single" w:sz="4" w:space="0" w:color="auto"/>
              <w:right w:val="single" w:sz="4" w:space="0" w:color="auto"/>
            </w:tcBorders>
          </w:tcPr>
          <w:p w14:paraId="5C8C478C" w14:textId="77777777" w:rsidR="005D0566" w:rsidRPr="00CA31BC" w:rsidRDefault="005D0566" w:rsidP="00290330">
            <w:pPr>
              <w:jc w:val="both"/>
              <w:rPr>
                <w:szCs w:val="24"/>
                <w:lang w:eastAsia="en-US"/>
              </w:rPr>
            </w:pPr>
            <w:r w:rsidRPr="00CA31BC">
              <w:rPr>
                <w:szCs w:val="24"/>
                <w:lang w:eastAsia="en-US"/>
              </w:rPr>
              <w:t>Rodiklis:</w:t>
            </w:r>
          </w:p>
        </w:tc>
        <w:tc>
          <w:tcPr>
            <w:tcW w:w="3685" w:type="dxa"/>
            <w:tcBorders>
              <w:left w:val="single" w:sz="4" w:space="0" w:color="auto"/>
              <w:right w:val="single" w:sz="4" w:space="0" w:color="auto"/>
            </w:tcBorders>
          </w:tcPr>
          <w:p w14:paraId="0CA1AEB0" w14:textId="77777777" w:rsidR="005D0566" w:rsidRPr="00AA3ACE" w:rsidRDefault="005D0566" w:rsidP="00290330">
            <w:pPr>
              <w:jc w:val="center"/>
              <w:rPr>
                <w:bCs/>
                <w:szCs w:val="24"/>
                <w:lang w:eastAsia="en-US"/>
              </w:rPr>
            </w:pPr>
            <w:r w:rsidRPr="00AA3ACE">
              <w:rPr>
                <w:bCs/>
                <w:szCs w:val="24"/>
                <w:lang w:eastAsia="en-US"/>
              </w:rPr>
              <w:t>2022 m.</w:t>
            </w:r>
          </w:p>
        </w:tc>
        <w:tc>
          <w:tcPr>
            <w:tcW w:w="3685" w:type="dxa"/>
            <w:tcBorders>
              <w:left w:val="single" w:sz="4" w:space="0" w:color="auto"/>
              <w:right w:val="single" w:sz="4" w:space="0" w:color="auto"/>
            </w:tcBorders>
          </w:tcPr>
          <w:p w14:paraId="31B74DD6" w14:textId="77777777" w:rsidR="005D0566" w:rsidRPr="00AA3ACE" w:rsidRDefault="005D0566" w:rsidP="00290330">
            <w:pPr>
              <w:jc w:val="center"/>
              <w:rPr>
                <w:bCs/>
                <w:szCs w:val="24"/>
                <w:lang w:eastAsia="en-US"/>
              </w:rPr>
            </w:pPr>
            <w:r w:rsidRPr="00AA3ACE">
              <w:rPr>
                <w:bCs/>
                <w:szCs w:val="24"/>
                <w:lang w:eastAsia="en-US"/>
              </w:rPr>
              <w:t xml:space="preserve">2023 m. </w:t>
            </w:r>
          </w:p>
        </w:tc>
      </w:tr>
      <w:tr w:rsidR="005D0566" w:rsidRPr="00CA31BC" w14:paraId="5A800699" w14:textId="77777777" w:rsidTr="005D0566">
        <w:trPr>
          <w:trHeight w:val="283"/>
        </w:trPr>
        <w:tc>
          <w:tcPr>
            <w:tcW w:w="2552" w:type="dxa"/>
            <w:vMerge/>
            <w:tcBorders>
              <w:left w:val="single" w:sz="4" w:space="0" w:color="auto"/>
              <w:right w:val="single" w:sz="4" w:space="0" w:color="auto"/>
            </w:tcBorders>
          </w:tcPr>
          <w:p w14:paraId="7240DAA6" w14:textId="77777777" w:rsidR="005D0566" w:rsidRPr="00CA31BC" w:rsidRDefault="005D0566" w:rsidP="00290330">
            <w:pPr>
              <w:jc w:val="both"/>
              <w:rPr>
                <w:szCs w:val="24"/>
                <w:lang w:eastAsia="en-US"/>
              </w:rPr>
            </w:pPr>
          </w:p>
        </w:tc>
        <w:tc>
          <w:tcPr>
            <w:tcW w:w="4640" w:type="dxa"/>
            <w:tcBorders>
              <w:left w:val="single" w:sz="4" w:space="0" w:color="auto"/>
              <w:bottom w:val="single" w:sz="4" w:space="0" w:color="auto"/>
              <w:right w:val="single" w:sz="4" w:space="0" w:color="auto"/>
            </w:tcBorders>
          </w:tcPr>
          <w:p w14:paraId="3D10F6A2" w14:textId="77777777" w:rsidR="005D0566" w:rsidRPr="00CA31BC" w:rsidRDefault="005D0566" w:rsidP="00290330">
            <w:pPr>
              <w:jc w:val="both"/>
              <w:rPr>
                <w:szCs w:val="24"/>
                <w:lang w:eastAsia="en-US"/>
              </w:rPr>
            </w:pPr>
            <w:r w:rsidRPr="00CA31BC">
              <w:rPr>
                <w:szCs w:val="24"/>
                <w:lang w:eastAsia="en-US"/>
              </w:rPr>
              <w:t>Pedagoginių darbuotojų ir etatų skaičius</w:t>
            </w:r>
          </w:p>
        </w:tc>
        <w:tc>
          <w:tcPr>
            <w:tcW w:w="3685" w:type="dxa"/>
            <w:tcBorders>
              <w:left w:val="single" w:sz="4" w:space="0" w:color="auto"/>
              <w:right w:val="single" w:sz="4" w:space="0" w:color="auto"/>
            </w:tcBorders>
          </w:tcPr>
          <w:p w14:paraId="4ED28715" w14:textId="77777777" w:rsidR="005D0566" w:rsidRPr="00AA3ACE" w:rsidRDefault="005D0566" w:rsidP="00290330">
            <w:pPr>
              <w:jc w:val="center"/>
              <w:rPr>
                <w:rFonts w:eastAsia="Calibri"/>
                <w:bCs/>
                <w:szCs w:val="24"/>
                <w:lang w:eastAsia="en-US"/>
              </w:rPr>
            </w:pPr>
            <w:r w:rsidRPr="00AA3ACE">
              <w:rPr>
                <w:rFonts w:eastAsia="Calibri"/>
                <w:bCs/>
                <w:szCs w:val="24"/>
                <w:lang w:eastAsia="en-US"/>
              </w:rPr>
              <w:t>27 (23,10)</w:t>
            </w:r>
          </w:p>
        </w:tc>
        <w:tc>
          <w:tcPr>
            <w:tcW w:w="3685" w:type="dxa"/>
            <w:tcBorders>
              <w:left w:val="single" w:sz="4" w:space="0" w:color="auto"/>
              <w:right w:val="single" w:sz="4" w:space="0" w:color="auto"/>
            </w:tcBorders>
          </w:tcPr>
          <w:p w14:paraId="7D950F7C" w14:textId="77777777" w:rsidR="005D0566" w:rsidRPr="00AA3ACE" w:rsidRDefault="005D0566" w:rsidP="00290330">
            <w:pPr>
              <w:jc w:val="center"/>
              <w:rPr>
                <w:bCs/>
                <w:szCs w:val="24"/>
                <w:lang w:eastAsia="en-US"/>
              </w:rPr>
            </w:pPr>
            <w:r w:rsidRPr="00AA3ACE">
              <w:rPr>
                <w:bCs/>
                <w:szCs w:val="24"/>
                <w:lang w:eastAsia="en-US"/>
              </w:rPr>
              <w:t>26 (23,00)</w:t>
            </w:r>
          </w:p>
        </w:tc>
      </w:tr>
      <w:tr w:rsidR="005D0566" w:rsidRPr="00CA31BC" w14:paraId="5549AFAE" w14:textId="77777777" w:rsidTr="005D0566">
        <w:trPr>
          <w:trHeight w:val="283"/>
        </w:trPr>
        <w:tc>
          <w:tcPr>
            <w:tcW w:w="2552" w:type="dxa"/>
            <w:vMerge/>
            <w:tcBorders>
              <w:left w:val="single" w:sz="4" w:space="0" w:color="auto"/>
              <w:right w:val="single" w:sz="4" w:space="0" w:color="auto"/>
            </w:tcBorders>
          </w:tcPr>
          <w:p w14:paraId="7C8A13D7" w14:textId="77777777" w:rsidR="005D0566" w:rsidRPr="00CA31BC" w:rsidRDefault="005D0566" w:rsidP="00290330">
            <w:pPr>
              <w:jc w:val="both"/>
              <w:rPr>
                <w:szCs w:val="24"/>
                <w:lang w:eastAsia="en-US"/>
              </w:rPr>
            </w:pPr>
          </w:p>
        </w:tc>
        <w:tc>
          <w:tcPr>
            <w:tcW w:w="4640" w:type="dxa"/>
            <w:tcBorders>
              <w:top w:val="single" w:sz="4" w:space="0" w:color="auto"/>
              <w:left w:val="single" w:sz="4" w:space="0" w:color="auto"/>
              <w:bottom w:val="single" w:sz="4" w:space="0" w:color="auto"/>
              <w:right w:val="single" w:sz="4" w:space="0" w:color="auto"/>
            </w:tcBorders>
          </w:tcPr>
          <w:p w14:paraId="58280D66" w14:textId="77777777" w:rsidR="005D0566" w:rsidRPr="00CA31BC" w:rsidRDefault="005D0566" w:rsidP="00290330">
            <w:pPr>
              <w:jc w:val="both"/>
              <w:rPr>
                <w:szCs w:val="24"/>
                <w:lang w:eastAsia="en-US"/>
              </w:rPr>
            </w:pPr>
            <w:r w:rsidRPr="00CA31BC">
              <w:rPr>
                <w:szCs w:val="24"/>
                <w:lang w:eastAsia="en-US"/>
              </w:rPr>
              <w:t>Aptarnaujančio personalo ir etatų skaičius</w:t>
            </w:r>
          </w:p>
        </w:tc>
        <w:tc>
          <w:tcPr>
            <w:tcW w:w="3685" w:type="dxa"/>
            <w:tcBorders>
              <w:left w:val="single" w:sz="4" w:space="0" w:color="auto"/>
              <w:right w:val="single" w:sz="4" w:space="0" w:color="auto"/>
            </w:tcBorders>
          </w:tcPr>
          <w:p w14:paraId="1396EA48" w14:textId="77777777" w:rsidR="005D0566" w:rsidRPr="00AA3ACE" w:rsidRDefault="005D0566" w:rsidP="00290330">
            <w:pPr>
              <w:jc w:val="center"/>
              <w:rPr>
                <w:rFonts w:eastAsia="Calibri"/>
                <w:bCs/>
                <w:szCs w:val="24"/>
                <w:lang w:eastAsia="en-US"/>
              </w:rPr>
            </w:pPr>
            <w:r w:rsidRPr="00AA3ACE">
              <w:rPr>
                <w:rFonts w:eastAsia="Calibri"/>
                <w:bCs/>
                <w:szCs w:val="24"/>
                <w:lang w:eastAsia="en-US"/>
              </w:rPr>
              <w:t>19 (18,70)</w:t>
            </w:r>
          </w:p>
        </w:tc>
        <w:tc>
          <w:tcPr>
            <w:tcW w:w="3685" w:type="dxa"/>
            <w:tcBorders>
              <w:left w:val="single" w:sz="4" w:space="0" w:color="auto"/>
              <w:right w:val="single" w:sz="4" w:space="0" w:color="auto"/>
            </w:tcBorders>
          </w:tcPr>
          <w:p w14:paraId="1FA69909" w14:textId="77777777" w:rsidR="005D0566" w:rsidRPr="00AA3ACE" w:rsidRDefault="005D0566" w:rsidP="00290330">
            <w:pPr>
              <w:jc w:val="center"/>
              <w:rPr>
                <w:bCs/>
                <w:szCs w:val="24"/>
                <w:lang w:eastAsia="en-US"/>
              </w:rPr>
            </w:pPr>
            <w:r w:rsidRPr="00AA3ACE">
              <w:rPr>
                <w:bCs/>
                <w:szCs w:val="24"/>
                <w:lang w:eastAsia="en-US"/>
              </w:rPr>
              <w:t>16 (16,70)</w:t>
            </w:r>
          </w:p>
        </w:tc>
      </w:tr>
      <w:tr w:rsidR="005D0566" w:rsidRPr="00CA31BC" w14:paraId="6E6D936D" w14:textId="77777777" w:rsidTr="005D0566">
        <w:trPr>
          <w:trHeight w:val="283"/>
        </w:trPr>
        <w:tc>
          <w:tcPr>
            <w:tcW w:w="2552" w:type="dxa"/>
            <w:vMerge/>
            <w:tcBorders>
              <w:left w:val="single" w:sz="4" w:space="0" w:color="auto"/>
              <w:right w:val="single" w:sz="4" w:space="0" w:color="auto"/>
            </w:tcBorders>
          </w:tcPr>
          <w:p w14:paraId="06E59602" w14:textId="77777777" w:rsidR="005D0566" w:rsidRPr="00CA31BC" w:rsidRDefault="005D0566" w:rsidP="00290330">
            <w:pPr>
              <w:jc w:val="both"/>
              <w:rPr>
                <w:szCs w:val="24"/>
                <w:lang w:eastAsia="en-US"/>
              </w:rPr>
            </w:pPr>
          </w:p>
        </w:tc>
        <w:tc>
          <w:tcPr>
            <w:tcW w:w="4640" w:type="dxa"/>
            <w:tcBorders>
              <w:top w:val="single" w:sz="4" w:space="0" w:color="auto"/>
              <w:left w:val="single" w:sz="4" w:space="0" w:color="auto"/>
              <w:bottom w:val="single" w:sz="4" w:space="0" w:color="auto"/>
              <w:right w:val="single" w:sz="4" w:space="0" w:color="auto"/>
            </w:tcBorders>
          </w:tcPr>
          <w:p w14:paraId="30B87E81" w14:textId="77777777" w:rsidR="005D0566" w:rsidRPr="00CA31BC" w:rsidRDefault="005D0566" w:rsidP="00290330">
            <w:pPr>
              <w:jc w:val="both"/>
              <w:rPr>
                <w:szCs w:val="24"/>
                <w:lang w:eastAsia="en-US"/>
              </w:rPr>
            </w:pPr>
            <w:r w:rsidRPr="00CA31BC">
              <w:rPr>
                <w:szCs w:val="24"/>
                <w:lang w:eastAsia="en-US"/>
              </w:rPr>
              <w:t>Mokinių skaičius</w:t>
            </w:r>
          </w:p>
        </w:tc>
        <w:tc>
          <w:tcPr>
            <w:tcW w:w="3685" w:type="dxa"/>
            <w:tcBorders>
              <w:left w:val="single" w:sz="4" w:space="0" w:color="auto"/>
              <w:right w:val="single" w:sz="4" w:space="0" w:color="auto"/>
            </w:tcBorders>
          </w:tcPr>
          <w:p w14:paraId="30D9E20C" w14:textId="77777777" w:rsidR="005D0566" w:rsidRPr="00AA3ACE" w:rsidRDefault="005D0566" w:rsidP="00290330">
            <w:pPr>
              <w:jc w:val="center"/>
              <w:rPr>
                <w:rFonts w:eastAsia="Calibri"/>
                <w:bCs/>
                <w:szCs w:val="24"/>
                <w:lang w:eastAsia="en-US"/>
              </w:rPr>
            </w:pPr>
            <w:r w:rsidRPr="00AA3ACE">
              <w:rPr>
                <w:rFonts w:eastAsia="Calibri"/>
                <w:bCs/>
                <w:szCs w:val="24"/>
                <w:lang w:eastAsia="en-US"/>
              </w:rPr>
              <w:t>83</w:t>
            </w:r>
          </w:p>
        </w:tc>
        <w:tc>
          <w:tcPr>
            <w:tcW w:w="3685" w:type="dxa"/>
            <w:tcBorders>
              <w:left w:val="single" w:sz="4" w:space="0" w:color="auto"/>
              <w:right w:val="single" w:sz="4" w:space="0" w:color="auto"/>
            </w:tcBorders>
          </w:tcPr>
          <w:p w14:paraId="31C1AF44" w14:textId="77777777" w:rsidR="005D0566" w:rsidRPr="00AA3ACE" w:rsidRDefault="005D0566" w:rsidP="00290330">
            <w:pPr>
              <w:jc w:val="center"/>
              <w:rPr>
                <w:bCs/>
                <w:szCs w:val="24"/>
                <w:lang w:eastAsia="en-US"/>
              </w:rPr>
            </w:pPr>
            <w:r w:rsidRPr="00AA3ACE">
              <w:rPr>
                <w:bCs/>
                <w:szCs w:val="24"/>
                <w:lang w:eastAsia="en-US"/>
              </w:rPr>
              <w:t>83</w:t>
            </w:r>
          </w:p>
        </w:tc>
      </w:tr>
      <w:tr w:rsidR="005D0566" w:rsidRPr="00CA31BC" w14:paraId="3BA8546A" w14:textId="77777777" w:rsidTr="005D0566">
        <w:trPr>
          <w:trHeight w:val="283"/>
        </w:trPr>
        <w:tc>
          <w:tcPr>
            <w:tcW w:w="2552" w:type="dxa"/>
            <w:vMerge/>
            <w:tcBorders>
              <w:left w:val="single" w:sz="4" w:space="0" w:color="auto"/>
              <w:right w:val="single" w:sz="4" w:space="0" w:color="auto"/>
            </w:tcBorders>
          </w:tcPr>
          <w:p w14:paraId="7CBDA0A0" w14:textId="77777777" w:rsidR="005D0566" w:rsidRPr="00CA31BC" w:rsidRDefault="005D0566" w:rsidP="00290330">
            <w:pPr>
              <w:jc w:val="both"/>
              <w:rPr>
                <w:szCs w:val="24"/>
                <w:lang w:eastAsia="en-US"/>
              </w:rPr>
            </w:pPr>
          </w:p>
        </w:tc>
        <w:tc>
          <w:tcPr>
            <w:tcW w:w="4640" w:type="dxa"/>
            <w:tcBorders>
              <w:top w:val="single" w:sz="4" w:space="0" w:color="auto"/>
              <w:left w:val="single" w:sz="4" w:space="0" w:color="auto"/>
              <w:bottom w:val="single" w:sz="4" w:space="0" w:color="auto"/>
              <w:right w:val="single" w:sz="4" w:space="0" w:color="auto"/>
            </w:tcBorders>
          </w:tcPr>
          <w:p w14:paraId="11C806D9" w14:textId="77777777" w:rsidR="005D0566" w:rsidRPr="00CA31BC" w:rsidRDefault="005D0566" w:rsidP="00290330">
            <w:pPr>
              <w:jc w:val="both"/>
              <w:rPr>
                <w:szCs w:val="24"/>
                <w:lang w:eastAsia="en-US"/>
              </w:rPr>
            </w:pPr>
            <w:r w:rsidRPr="00CA31BC">
              <w:rPr>
                <w:szCs w:val="24"/>
                <w:lang w:eastAsia="en-US"/>
              </w:rPr>
              <w:t>Ikimokyklinukų skaičius</w:t>
            </w:r>
          </w:p>
        </w:tc>
        <w:tc>
          <w:tcPr>
            <w:tcW w:w="3685" w:type="dxa"/>
            <w:tcBorders>
              <w:left w:val="single" w:sz="4" w:space="0" w:color="auto"/>
              <w:right w:val="single" w:sz="4" w:space="0" w:color="auto"/>
            </w:tcBorders>
          </w:tcPr>
          <w:p w14:paraId="41BB7BE3" w14:textId="77777777" w:rsidR="005D0566" w:rsidRPr="00AA3ACE" w:rsidRDefault="005D0566" w:rsidP="00290330">
            <w:pPr>
              <w:jc w:val="center"/>
              <w:rPr>
                <w:rFonts w:eastAsia="Calibri"/>
                <w:bCs/>
                <w:szCs w:val="24"/>
                <w:lang w:eastAsia="en-US"/>
              </w:rPr>
            </w:pPr>
            <w:r w:rsidRPr="00AA3ACE">
              <w:rPr>
                <w:rFonts w:eastAsia="Calibri"/>
                <w:bCs/>
                <w:szCs w:val="24"/>
                <w:lang w:eastAsia="en-US"/>
              </w:rPr>
              <w:t>29</w:t>
            </w:r>
          </w:p>
        </w:tc>
        <w:tc>
          <w:tcPr>
            <w:tcW w:w="3685" w:type="dxa"/>
            <w:tcBorders>
              <w:left w:val="single" w:sz="4" w:space="0" w:color="auto"/>
              <w:right w:val="single" w:sz="4" w:space="0" w:color="auto"/>
            </w:tcBorders>
          </w:tcPr>
          <w:p w14:paraId="508C9120" w14:textId="77777777" w:rsidR="005D0566" w:rsidRPr="00AA3ACE" w:rsidRDefault="005D0566" w:rsidP="00290330">
            <w:pPr>
              <w:jc w:val="center"/>
              <w:rPr>
                <w:bCs/>
                <w:szCs w:val="24"/>
                <w:lang w:eastAsia="en-US"/>
              </w:rPr>
            </w:pPr>
            <w:r w:rsidRPr="00AA3ACE">
              <w:rPr>
                <w:bCs/>
                <w:szCs w:val="24"/>
                <w:lang w:eastAsia="en-US"/>
              </w:rPr>
              <w:t>20</w:t>
            </w:r>
          </w:p>
        </w:tc>
      </w:tr>
      <w:tr w:rsidR="005D0566" w:rsidRPr="00CA31BC" w14:paraId="530A3C7B" w14:textId="77777777" w:rsidTr="005D0566">
        <w:trPr>
          <w:trHeight w:val="283"/>
        </w:trPr>
        <w:tc>
          <w:tcPr>
            <w:tcW w:w="2552" w:type="dxa"/>
            <w:vMerge/>
            <w:tcBorders>
              <w:left w:val="single" w:sz="4" w:space="0" w:color="auto"/>
              <w:right w:val="single" w:sz="4" w:space="0" w:color="auto"/>
            </w:tcBorders>
          </w:tcPr>
          <w:p w14:paraId="43BB2D8A" w14:textId="77777777" w:rsidR="005D0566" w:rsidRPr="00CA31BC" w:rsidRDefault="005D0566" w:rsidP="00290330">
            <w:pPr>
              <w:jc w:val="both"/>
              <w:rPr>
                <w:szCs w:val="24"/>
                <w:lang w:eastAsia="en-US"/>
              </w:rPr>
            </w:pPr>
          </w:p>
        </w:tc>
        <w:tc>
          <w:tcPr>
            <w:tcW w:w="4640" w:type="dxa"/>
            <w:tcBorders>
              <w:top w:val="single" w:sz="4" w:space="0" w:color="auto"/>
              <w:left w:val="single" w:sz="4" w:space="0" w:color="auto"/>
              <w:bottom w:val="single" w:sz="4" w:space="0" w:color="auto"/>
              <w:right w:val="single" w:sz="4" w:space="0" w:color="auto"/>
            </w:tcBorders>
          </w:tcPr>
          <w:p w14:paraId="7ECEE876" w14:textId="77777777" w:rsidR="005D0566" w:rsidRPr="00CA31BC" w:rsidRDefault="005D0566" w:rsidP="00290330">
            <w:pPr>
              <w:jc w:val="both"/>
              <w:rPr>
                <w:szCs w:val="24"/>
                <w:lang w:eastAsia="en-US"/>
              </w:rPr>
            </w:pPr>
            <w:proofErr w:type="spellStart"/>
            <w:r w:rsidRPr="00CA31BC">
              <w:rPr>
                <w:szCs w:val="24"/>
                <w:lang w:eastAsia="en-US"/>
              </w:rPr>
              <w:t>Priešmokyklinukų</w:t>
            </w:r>
            <w:proofErr w:type="spellEnd"/>
            <w:r w:rsidRPr="00CA31BC">
              <w:rPr>
                <w:szCs w:val="24"/>
                <w:lang w:eastAsia="en-US"/>
              </w:rPr>
              <w:t xml:space="preserve"> skaičius</w:t>
            </w:r>
          </w:p>
        </w:tc>
        <w:tc>
          <w:tcPr>
            <w:tcW w:w="3685" w:type="dxa"/>
            <w:tcBorders>
              <w:left w:val="single" w:sz="4" w:space="0" w:color="auto"/>
              <w:right w:val="single" w:sz="4" w:space="0" w:color="auto"/>
            </w:tcBorders>
          </w:tcPr>
          <w:p w14:paraId="62B8F532" w14:textId="77777777" w:rsidR="005D0566" w:rsidRPr="00AA3ACE" w:rsidRDefault="005D0566" w:rsidP="00290330">
            <w:pPr>
              <w:jc w:val="center"/>
              <w:rPr>
                <w:rFonts w:eastAsia="Calibri"/>
                <w:bCs/>
                <w:szCs w:val="24"/>
                <w:lang w:eastAsia="en-US"/>
              </w:rPr>
            </w:pPr>
            <w:r w:rsidRPr="00AA3ACE">
              <w:rPr>
                <w:rFonts w:eastAsia="Calibri"/>
                <w:bCs/>
                <w:szCs w:val="24"/>
                <w:lang w:eastAsia="en-US"/>
              </w:rPr>
              <w:t>8</w:t>
            </w:r>
          </w:p>
        </w:tc>
        <w:tc>
          <w:tcPr>
            <w:tcW w:w="3685" w:type="dxa"/>
            <w:tcBorders>
              <w:left w:val="single" w:sz="4" w:space="0" w:color="auto"/>
              <w:right w:val="single" w:sz="4" w:space="0" w:color="auto"/>
            </w:tcBorders>
          </w:tcPr>
          <w:p w14:paraId="6CA36297" w14:textId="77777777" w:rsidR="005D0566" w:rsidRPr="00AA3ACE" w:rsidRDefault="005D0566" w:rsidP="00290330">
            <w:pPr>
              <w:jc w:val="center"/>
              <w:rPr>
                <w:bCs/>
                <w:szCs w:val="24"/>
                <w:lang w:eastAsia="en-US"/>
              </w:rPr>
            </w:pPr>
            <w:r w:rsidRPr="00AA3ACE">
              <w:rPr>
                <w:bCs/>
                <w:szCs w:val="24"/>
                <w:lang w:eastAsia="en-US"/>
              </w:rPr>
              <w:t>8</w:t>
            </w:r>
          </w:p>
        </w:tc>
      </w:tr>
      <w:tr w:rsidR="005D0566" w:rsidRPr="00CA31BC" w14:paraId="213E4BDB" w14:textId="77777777" w:rsidTr="005D0566">
        <w:trPr>
          <w:trHeight w:val="283"/>
        </w:trPr>
        <w:tc>
          <w:tcPr>
            <w:tcW w:w="2552" w:type="dxa"/>
            <w:vMerge/>
            <w:tcBorders>
              <w:left w:val="single" w:sz="4" w:space="0" w:color="auto"/>
              <w:right w:val="single" w:sz="4" w:space="0" w:color="auto"/>
            </w:tcBorders>
          </w:tcPr>
          <w:p w14:paraId="4ABF1DD0" w14:textId="77777777" w:rsidR="005D0566" w:rsidRPr="00CA31BC" w:rsidRDefault="005D0566" w:rsidP="00290330">
            <w:pPr>
              <w:jc w:val="both"/>
              <w:rPr>
                <w:szCs w:val="24"/>
                <w:lang w:eastAsia="en-US"/>
              </w:rPr>
            </w:pPr>
          </w:p>
        </w:tc>
        <w:tc>
          <w:tcPr>
            <w:tcW w:w="4640" w:type="dxa"/>
            <w:tcBorders>
              <w:top w:val="single" w:sz="4" w:space="0" w:color="auto"/>
              <w:left w:val="single" w:sz="4" w:space="0" w:color="auto"/>
              <w:bottom w:val="single" w:sz="4" w:space="0" w:color="auto"/>
              <w:right w:val="single" w:sz="4" w:space="0" w:color="auto"/>
            </w:tcBorders>
          </w:tcPr>
          <w:p w14:paraId="20E79A51" w14:textId="77777777" w:rsidR="005D0566" w:rsidRPr="00CA31BC" w:rsidRDefault="005D0566" w:rsidP="00290330">
            <w:pPr>
              <w:jc w:val="both"/>
              <w:rPr>
                <w:szCs w:val="24"/>
                <w:lang w:eastAsia="en-US"/>
              </w:rPr>
            </w:pPr>
            <w:r w:rsidRPr="00CA31BC">
              <w:rPr>
                <w:szCs w:val="24"/>
                <w:lang w:eastAsia="en-US"/>
              </w:rPr>
              <w:t>Bendras ugdomų ir mokomų asmenų skaičius</w:t>
            </w:r>
          </w:p>
        </w:tc>
        <w:tc>
          <w:tcPr>
            <w:tcW w:w="3685" w:type="dxa"/>
            <w:tcBorders>
              <w:left w:val="single" w:sz="4" w:space="0" w:color="auto"/>
              <w:right w:val="single" w:sz="4" w:space="0" w:color="auto"/>
            </w:tcBorders>
          </w:tcPr>
          <w:p w14:paraId="7017E286" w14:textId="77777777" w:rsidR="005D0566" w:rsidRPr="00AA3ACE" w:rsidRDefault="005D0566" w:rsidP="00290330">
            <w:pPr>
              <w:jc w:val="center"/>
              <w:rPr>
                <w:rFonts w:eastAsia="Calibri"/>
                <w:bCs/>
                <w:szCs w:val="24"/>
                <w:lang w:eastAsia="en-US"/>
              </w:rPr>
            </w:pPr>
            <w:r>
              <w:rPr>
                <w:rFonts w:eastAsia="Calibri"/>
                <w:bCs/>
                <w:szCs w:val="24"/>
                <w:lang w:eastAsia="en-US"/>
              </w:rPr>
              <w:t>120</w:t>
            </w:r>
          </w:p>
        </w:tc>
        <w:tc>
          <w:tcPr>
            <w:tcW w:w="3685" w:type="dxa"/>
            <w:tcBorders>
              <w:left w:val="single" w:sz="4" w:space="0" w:color="auto"/>
              <w:right w:val="single" w:sz="4" w:space="0" w:color="auto"/>
            </w:tcBorders>
          </w:tcPr>
          <w:p w14:paraId="5F5A2B5C" w14:textId="77777777" w:rsidR="005D0566" w:rsidRPr="00AA3ACE" w:rsidRDefault="005D0566" w:rsidP="00290330">
            <w:pPr>
              <w:jc w:val="center"/>
              <w:rPr>
                <w:bCs/>
                <w:szCs w:val="24"/>
                <w:lang w:eastAsia="en-US"/>
              </w:rPr>
            </w:pPr>
            <w:r>
              <w:rPr>
                <w:bCs/>
                <w:szCs w:val="24"/>
                <w:lang w:eastAsia="en-US"/>
              </w:rPr>
              <w:t>111</w:t>
            </w:r>
          </w:p>
        </w:tc>
      </w:tr>
      <w:tr w:rsidR="005D0566" w:rsidRPr="00CA31BC" w14:paraId="0A9A5EF3" w14:textId="77777777" w:rsidTr="005D0566">
        <w:trPr>
          <w:trHeight w:val="552"/>
        </w:trPr>
        <w:tc>
          <w:tcPr>
            <w:tcW w:w="2552" w:type="dxa"/>
            <w:vMerge/>
            <w:tcBorders>
              <w:left w:val="single" w:sz="4" w:space="0" w:color="auto"/>
              <w:right w:val="single" w:sz="4" w:space="0" w:color="auto"/>
            </w:tcBorders>
          </w:tcPr>
          <w:p w14:paraId="6DF0C575" w14:textId="77777777" w:rsidR="005D0566" w:rsidRPr="00CA31BC" w:rsidRDefault="005D0566" w:rsidP="00290330">
            <w:pPr>
              <w:rPr>
                <w:szCs w:val="24"/>
                <w:lang w:eastAsia="en-US"/>
              </w:rPr>
            </w:pPr>
          </w:p>
        </w:tc>
        <w:tc>
          <w:tcPr>
            <w:tcW w:w="4640" w:type="dxa"/>
            <w:tcBorders>
              <w:top w:val="single" w:sz="4" w:space="0" w:color="auto"/>
              <w:left w:val="single" w:sz="4" w:space="0" w:color="auto"/>
              <w:bottom w:val="single" w:sz="4" w:space="0" w:color="auto"/>
              <w:right w:val="single" w:sz="4" w:space="0" w:color="auto"/>
            </w:tcBorders>
          </w:tcPr>
          <w:p w14:paraId="48D3FC7C" w14:textId="77777777" w:rsidR="005D0566" w:rsidRPr="00CA31BC" w:rsidRDefault="005D0566" w:rsidP="00290330">
            <w:pPr>
              <w:rPr>
                <w:szCs w:val="24"/>
                <w:lang w:eastAsia="en-US"/>
              </w:rPr>
            </w:pPr>
            <w:r w:rsidRPr="00CA31BC">
              <w:rPr>
                <w:szCs w:val="24"/>
                <w:lang w:eastAsia="en-US"/>
              </w:rPr>
              <w:t xml:space="preserve">Pavežamų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685" w:type="dxa"/>
            <w:tcBorders>
              <w:left w:val="single" w:sz="4" w:space="0" w:color="auto"/>
              <w:right w:val="single" w:sz="4" w:space="0" w:color="auto"/>
            </w:tcBorders>
          </w:tcPr>
          <w:p w14:paraId="0789F8F1" w14:textId="77777777" w:rsidR="005D0566" w:rsidRPr="00CA31BC" w:rsidRDefault="005D0566" w:rsidP="00290330">
            <w:pPr>
              <w:pStyle w:val="NoSpacing1"/>
              <w:jc w:val="center"/>
              <w:rPr>
                <w:rFonts w:ascii="Times New Roman" w:hAnsi="Times New Roman"/>
                <w:sz w:val="24"/>
                <w:szCs w:val="24"/>
              </w:rPr>
            </w:pPr>
            <w:r>
              <w:rPr>
                <w:rFonts w:ascii="Times New Roman" w:hAnsi="Times New Roman"/>
                <w:sz w:val="24"/>
                <w:szCs w:val="24"/>
              </w:rPr>
              <w:t>11 (12,08 proc.)</w:t>
            </w:r>
          </w:p>
        </w:tc>
        <w:tc>
          <w:tcPr>
            <w:tcW w:w="3685" w:type="dxa"/>
            <w:tcBorders>
              <w:left w:val="single" w:sz="4" w:space="0" w:color="auto"/>
              <w:right w:val="single" w:sz="4" w:space="0" w:color="auto"/>
            </w:tcBorders>
          </w:tcPr>
          <w:p w14:paraId="531FEB80" w14:textId="77777777" w:rsidR="005D0566" w:rsidRPr="00CA31BC" w:rsidRDefault="005D0566" w:rsidP="00290330">
            <w:pPr>
              <w:jc w:val="center"/>
              <w:rPr>
                <w:szCs w:val="24"/>
              </w:rPr>
            </w:pPr>
            <w:r>
              <w:rPr>
                <w:szCs w:val="24"/>
              </w:rPr>
              <w:t>15 (16,48 proc.)</w:t>
            </w:r>
          </w:p>
        </w:tc>
      </w:tr>
      <w:tr w:rsidR="005D0566" w:rsidRPr="00CA31BC" w14:paraId="39963F1A" w14:textId="77777777" w:rsidTr="005D0566">
        <w:trPr>
          <w:trHeight w:val="583"/>
        </w:trPr>
        <w:tc>
          <w:tcPr>
            <w:tcW w:w="2552" w:type="dxa"/>
            <w:vMerge/>
            <w:tcBorders>
              <w:left w:val="single" w:sz="4" w:space="0" w:color="auto"/>
              <w:bottom w:val="single" w:sz="4" w:space="0" w:color="auto"/>
              <w:right w:val="single" w:sz="4" w:space="0" w:color="auto"/>
            </w:tcBorders>
          </w:tcPr>
          <w:p w14:paraId="5F3954C3" w14:textId="77777777" w:rsidR="005D0566" w:rsidRPr="00CA31BC" w:rsidRDefault="005D0566" w:rsidP="00290330">
            <w:pPr>
              <w:rPr>
                <w:szCs w:val="24"/>
                <w:lang w:eastAsia="en-US"/>
              </w:rPr>
            </w:pPr>
          </w:p>
        </w:tc>
        <w:tc>
          <w:tcPr>
            <w:tcW w:w="4640" w:type="dxa"/>
            <w:tcBorders>
              <w:top w:val="single" w:sz="4" w:space="0" w:color="auto"/>
              <w:left w:val="single" w:sz="4" w:space="0" w:color="auto"/>
              <w:bottom w:val="single" w:sz="4" w:space="0" w:color="auto"/>
              <w:right w:val="single" w:sz="4" w:space="0" w:color="auto"/>
            </w:tcBorders>
          </w:tcPr>
          <w:p w14:paraId="3575976E" w14:textId="77777777" w:rsidR="005D0566" w:rsidRPr="00CA31BC" w:rsidRDefault="005D0566" w:rsidP="00290330">
            <w:pPr>
              <w:rPr>
                <w:szCs w:val="24"/>
                <w:lang w:eastAsia="en-US"/>
              </w:rPr>
            </w:pPr>
            <w:r w:rsidRPr="00CA31BC">
              <w:rPr>
                <w:szCs w:val="24"/>
                <w:lang w:eastAsia="en-US"/>
              </w:rPr>
              <w:t xml:space="preserve">Nemokamai maitinamų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685" w:type="dxa"/>
            <w:tcBorders>
              <w:left w:val="single" w:sz="4" w:space="0" w:color="auto"/>
              <w:bottom w:val="single" w:sz="4" w:space="0" w:color="auto"/>
              <w:right w:val="single" w:sz="4" w:space="0" w:color="auto"/>
            </w:tcBorders>
          </w:tcPr>
          <w:p w14:paraId="7B3F2196" w14:textId="77777777" w:rsidR="005D0566" w:rsidRPr="00CA31BC" w:rsidRDefault="005D0566" w:rsidP="00290330">
            <w:pPr>
              <w:pStyle w:val="NoSpacing1"/>
              <w:jc w:val="center"/>
              <w:rPr>
                <w:rFonts w:ascii="Times New Roman" w:hAnsi="Times New Roman"/>
                <w:color w:val="000000"/>
                <w:sz w:val="24"/>
                <w:szCs w:val="24"/>
              </w:rPr>
            </w:pPr>
            <w:r>
              <w:rPr>
                <w:rFonts w:ascii="Times New Roman" w:hAnsi="Times New Roman"/>
                <w:color w:val="000000"/>
                <w:sz w:val="24"/>
                <w:szCs w:val="24"/>
              </w:rPr>
              <w:t>50 (54,94 proc.)</w:t>
            </w:r>
          </w:p>
        </w:tc>
        <w:tc>
          <w:tcPr>
            <w:tcW w:w="3685" w:type="dxa"/>
            <w:tcBorders>
              <w:left w:val="single" w:sz="4" w:space="0" w:color="auto"/>
              <w:bottom w:val="single" w:sz="4" w:space="0" w:color="auto"/>
              <w:right w:val="single" w:sz="4" w:space="0" w:color="auto"/>
            </w:tcBorders>
          </w:tcPr>
          <w:p w14:paraId="3FF87466" w14:textId="77777777" w:rsidR="005D0566" w:rsidRPr="00CA31BC" w:rsidRDefault="005D0566" w:rsidP="00290330">
            <w:pPr>
              <w:jc w:val="center"/>
              <w:rPr>
                <w:szCs w:val="24"/>
              </w:rPr>
            </w:pPr>
            <w:r>
              <w:rPr>
                <w:szCs w:val="24"/>
              </w:rPr>
              <w:t>55 (60,44 proc.)</w:t>
            </w:r>
          </w:p>
        </w:tc>
      </w:tr>
    </w:tbl>
    <w:p w14:paraId="53FF9E50" w14:textId="77777777" w:rsidR="00422C32" w:rsidRPr="00CA31BC" w:rsidRDefault="00422C32" w:rsidP="00422C32">
      <w:pPr>
        <w:jc w:val="center"/>
        <w:rPr>
          <w:szCs w:val="24"/>
          <w:lang w:eastAsia="en-US"/>
        </w:rPr>
      </w:pPr>
    </w:p>
    <w:p w14:paraId="1069430D" w14:textId="77777777" w:rsidR="00422C32" w:rsidRPr="00CA31BC" w:rsidRDefault="00422C32" w:rsidP="00422C32">
      <w:pPr>
        <w:rPr>
          <w:rFonts w:eastAsia="Calibri"/>
          <w:szCs w:val="24"/>
          <w:lang w:eastAsia="en-US"/>
        </w:rPr>
      </w:pPr>
    </w:p>
    <w:p w14:paraId="313DF0FC" w14:textId="77777777" w:rsidR="00422C32" w:rsidRDefault="00422C32" w:rsidP="00422C32">
      <w:pPr>
        <w:suppressAutoHyphens/>
        <w:jc w:val="center"/>
        <w:textAlignment w:val="baseline"/>
        <w:rPr>
          <w:rFonts w:eastAsia="Calibri"/>
          <w:b/>
          <w:bCs/>
          <w:strike/>
          <w:szCs w:val="24"/>
        </w:rPr>
      </w:pPr>
      <w:r>
        <w:rPr>
          <w:rFonts w:eastAsia="Calibri"/>
          <w:b/>
          <w:bCs/>
          <w:szCs w:val="24"/>
        </w:rPr>
        <w:lastRenderedPageBreak/>
        <w:t>II SKYRIUS</w:t>
      </w:r>
    </w:p>
    <w:p w14:paraId="3052D448" w14:textId="77777777" w:rsidR="00422C32" w:rsidRDefault="00422C32" w:rsidP="005D0566">
      <w:pPr>
        <w:suppressAutoHyphens/>
        <w:spacing w:after="120"/>
        <w:jc w:val="center"/>
        <w:textAlignment w:val="baseline"/>
        <w:rPr>
          <w:rFonts w:eastAsia="Calibri"/>
          <w:b/>
          <w:color w:val="808080"/>
          <w:sz w:val="20"/>
          <w:szCs w:val="24"/>
        </w:rPr>
      </w:pPr>
      <w:r>
        <w:rPr>
          <w:rFonts w:eastAsia="Calibri"/>
          <w:b/>
          <w:bCs/>
          <w:szCs w:val="24"/>
        </w:rPr>
        <w:t>ĮSTAIGOS PLANŲ IR PROGRAMŲ ĮGYVENDINIMAS</w:t>
      </w:r>
    </w:p>
    <w:p w14:paraId="74A694BC" w14:textId="77777777" w:rsidR="00422C32" w:rsidRPr="004C49EB" w:rsidRDefault="00422C32" w:rsidP="00422C32">
      <w:pPr>
        <w:ind w:firstLine="567"/>
        <w:jc w:val="both"/>
        <w:rPr>
          <w:szCs w:val="24"/>
        </w:rPr>
      </w:pPr>
      <w:r>
        <w:rPr>
          <w:szCs w:val="24"/>
        </w:rPr>
        <w:t>2022–2023 mokslo metais g</w:t>
      </w:r>
      <w:r w:rsidRPr="004C49EB">
        <w:rPr>
          <w:szCs w:val="24"/>
        </w:rPr>
        <w:t>eriausių rezultatų (aukštesnysis lygis ar</w:t>
      </w:r>
      <w:r>
        <w:rPr>
          <w:szCs w:val="24"/>
        </w:rPr>
        <w:t>ba</w:t>
      </w:r>
      <w:r w:rsidRPr="004C49EB">
        <w:rPr>
          <w:szCs w:val="24"/>
        </w:rPr>
        <w:t xml:space="preserve"> 9</w:t>
      </w:r>
      <w:r w:rsidR="00B3132C">
        <w:rPr>
          <w:szCs w:val="24"/>
        </w:rPr>
        <w:t>–</w:t>
      </w:r>
      <w:r w:rsidRPr="004C49EB">
        <w:rPr>
          <w:szCs w:val="24"/>
        </w:rPr>
        <w:t xml:space="preserve">10 balų) pasiekė </w:t>
      </w:r>
      <w:r>
        <w:rPr>
          <w:szCs w:val="24"/>
        </w:rPr>
        <w:t>trys</w:t>
      </w:r>
      <w:r w:rsidRPr="004C49EB">
        <w:rPr>
          <w:szCs w:val="24"/>
        </w:rPr>
        <w:t xml:space="preserve"> </w:t>
      </w:r>
      <w:r>
        <w:rPr>
          <w:szCs w:val="24"/>
        </w:rPr>
        <w:t>1</w:t>
      </w:r>
      <w:r w:rsidRPr="004C49EB">
        <w:rPr>
          <w:szCs w:val="24"/>
        </w:rPr>
        <w:t xml:space="preserve"> klasės mokiniai</w:t>
      </w:r>
      <w:r>
        <w:rPr>
          <w:szCs w:val="24"/>
        </w:rPr>
        <w:t>,</w:t>
      </w:r>
      <w:r w:rsidRPr="004C49EB">
        <w:rPr>
          <w:szCs w:val="24"/>
        </w:rPr>
        <w:t xml:space="preserve"> trys 4 klasės mokiniai bei </w:t>
      </w:r>
      <w:r>
        <w:rPr>
          <w:szCs w:val="24"/>
        </w:rPr>
        <w:t>vienas 5</w:t>
      </w:r>
      <w:r w:rsidRPr="004C49EB">
        <w:rPr>
          <w:szCs w:val="24"/>
        </w:rPr>
        <w:t xml:space="preserve"> klasės mokinys. Dar šeši mokiniai </w:t>
      </w:r>
      <w:r>
        <w:rPr>
          <w:szCs w:val="24"/>
        </w:rPr>
        <w:t xml:space="preserve">pretenduoja į besimokančius </w:t>
      </w:r>
      <w:r w:rsidRPr="004C49EB">
        <w:rPr>
          <w:szCs w:val="24"/>
        </w:rPr>
        <w:t>aukštesniuoju lygi</w:t>
      </w:r>
      <w:r>
        <w:rPr>
          <w:szCs w:val="24"/>
        </w:rPr>
        <w:t>u.</w:t>
      </w:r>
    </w:p>
    <w:p w14:paraId="35A4F48C" w14:textId="77777777" w:rsidR="00422C32" w:rsidRPr="00794901" w:rsidRDefault="00422C32" w:rsidP="00422C32">
      <w:pPr>
        <w:ind w:firstLine="567"/>
        <w:jc w:val="both"/>
        <w:rPr>
          <w:szCs w:val="24"/>
        </w:rPr>
      </w:pPr>
      <w:r>
        <w:rPr>
          <w:szCs w:val="24"/>
        </w:rPr>
        <w:t>Nuo 2012 metų Lietuvos mokyklos, siekiančios gerinti ugdymo kokybę, turi galimybę pasinaudoti Nacionalinio egzaminų centro (NEC) parengtais mokymosi pasiekimų vertinimo įrankiais – nacionalinio mokinių pasiekimų patikrinimo (NMPP) testais, skirtais įvertinti 2, 4, 6 ir 8 klasių mokinių mokymosi pasiekimus. Šie įrankiai skirti padėti įsivertinti mokymosi situaciją, išsiaiškinti konkrečius mokymosi sunkumus ir problemas, kurias galima įveikti mokiniams, mokytojams ir mokykloms suteikiant tinkamą pagalbą.</w:t>
      </w:r>
    </w:p>
    <w:p w14:paraId="14466944" w14:textId="77777777" w:rsidR="00422C32" w:rsidRPr="004D3683" w:rsidRDefault="00422C32" w:rsidP="00422C32">
      <w:pPr>
        <w:ind w:firstLine="567"/>
        <w:jc w:val="both"/>
        <w:rPr>
          <w:szCs w:val="24"/>
        </w:rPr>
      </w:pPr>
      <w:r w:rsidRPr="004D3683">
        <w:rPr>
          <w:szCs w:val="24"/>
        </w:rPr>
        <w:t xml:space="preserve">2022–2023 m. m. NMPP buvo vykdomi tik ketvirtose ir aštuntose klasėse. Mokiniai atliko lietuvių kalbos ir literatūros (skaitymo) ir matematikos testus. Nauja buvo tai, kad testai vyko sausio–vasario mėnesiais. Šiais metais šie testai dar buvo neprivalomi, bet rekomenduojami. </w:t>
      </w:r>
      <w:r w:rsidR="00B3132C">
        <w:rPr>
          <w:szCs w:val="24"/>
        </w:rPr>
        <w:t>V</w:t>
      </w:r>
      <w:r w:rsidRPr="004D3683">
        <w:rPr>
          <w:szCs w:val="24"/>
        </w:rPr>
        <w:t xml:space="preserve">isi </w:t>
      </w:r>
      <w:r w:rsidR="00B3132C">
        <w:rPr>
          <w:szCs w:val="24"/>
        </w:rPr>
        <w:t xml:space="preserve">mokyklos </w:t>
      </w:r>
      <w:r w:rsidRPr="004D3683">
        <w:rPr>
          <w:szCs w:val="24"/>
        </w:rPr>
        <w:t>ketvirtos ir aštuntos klasės mokiniai dalyvavo bent viename patikrinime.</w:t>
      </w:r>
    </w:p>
    <w:p w14:paraId="6C411757" w14:textId="77777777" w:rsidR="00422C32" w:rsidRPr="004D3683" w:rsidRDefault="00422C32" w:rsidP="00422C32">
      <w:pPr>
        <w:ind w:firstLine="567"/>
        <w:jc w:val="both"/>
        <w:rPr>
          <w:szCs w:val="24"/>
        </w:rPr>
      </w:pPr>
      <w:r w:rsidRPr="004C49EB">
        <w:rPr>
          <w:szCs w:val="24"/>
        </w:rPr>
        <w:t xml:space="preserve">Trečiojo uždavinio </w:t>
      </w:r>
      <w:r w:rsidR="00600799">
        <w:rPr>
          <w:szCs w:val="24"/>
        </w:rPr>
        <w:t>„</w:t>
      </w:r>
      <w:r w:rsidRPr="007209EB">
        <w:rPr>
          <w:szCs w:val="24"/>
        </w:rPr>
        <w:t>Plėtoti mokinių saviraiškos galimybes per neformalųjį švietimą ir projektines veiklas“ įgyvendinimą apsunkina</w:t>
      </w:r>
      <w:r w:rsidRPr="004C49EB">
        <w:rPr>
          <w:szCs w:val="24"/>
        </w:rPr>
        <w:t xml:space="preserve"> sumažėjusi neformalaus švietimo veiklų pasiūla ir finansinės galimybės. Jei vykdyti išvažiuojamąsias edukacines programas problemų nekyla dėl transporto, tai pasirenkant pačias edukacines programas ir jų apmokėjimą dažnai kyla sunkumų. Mokyklai skiriamos lėšos labai ribotos. Yra mokinių, kurie į tokias programas nevyko, nes </w:t>
      </w:r>
      <w:r w:rsidR="00600799">
        <w:rPr>
          <w:szCs w:val="24"/>
        </w:rPr>
        <w:t>„</w:t>
      </w:r>
      <w:r w:rsidRPr="004C49EB">
        <w:rPr>
          <w:szCs w:val="24"/>
        </w:rPr>
        <w:t>brangu“</w:t>
      </w:r>
      <w:r>
        <w:rPr>
          <w:szCs w:val="24"/>
        </w:rPr>
        <w:t>. Įgyvendinant šį uždavinį nemaža parama buvo Kultūros paso renginiai.</w:t>
      </w:r>
    </w:p>
    <w:p w14:paraId="182942F1" w14:textId="77777777" w:rsidR="00422C32" w:rsidRPr="00CA31BC" w:rsidRDefault="00422C32" w:rsidP="00422C32">
      <w:pPr>
        <w:rPr>
          <w:rFonts w:eastAsia="Calibri"/>
          <w:szCs w:val="24"/>
          <w:lang w:eastAsia="en-US"/>
        </w:rPr>
      </w:pPr>
    </w:p>
    <w:p w14:paraId="01F9E568" w14:textId="77777777" w:rsidR="00422C32" w:rsidRDefault="00422C32" w:rsidP="00422C32">
      <w:pPr>
        <w:rPr>
          <w:rFonts w:eastAsia="Calibri"/>
          <w:szCs w:val="24"/>
          <w:lang w:eastAsia="en-US"/>
        </w:rPr>
      </w:pPr>
    </w:p>
    <w:tbl>
      <w:tblPr>
        <w:tblW w:w="0" w:type="auto"/>
        <w:tblLook w:val="04A0" w:firstRow="1" w:lastRow="0" w:firstColumn="1" w:lastColumn="0" w:noHBand="0" w:noVBand="1"/>
      </w:tblPr>
      <w:tblGrid>
        <w:gridCol w:w="4928"/>
        <w:gridCol w:w="4003"/>
        <w:gridCol w:w="1560"/>
        <w:gridCol w:w="3684"/>
      </w:tblGrid>
      <w:tr w:rsidR="00CE69FB" w:rsidRPr="004D3683" w14:paraId="338509FD" w14:textId="77777777">
        <w:tc>
          <w:tcPr>
            <w:tcW w:w="4928" w:type="dxa"/>
            <w:shd w:val="clear" w:color="auto" w:fill="auto"/>
          </w:tcPr>
          <w:p w14:paraId="6AE26FB1" w14:textId="77777777" w:rsidR="00422C32" w:rsidRDefault="00422C32">
            <w:pPr>
              <w:jc w:val="both"/>
              <w:rPr>
                <w:rFonts w:eastAsia="Calibri"/>
                <w:szCs w:val="24"/>
              </w:rPr>
            </w:pPr>
            <w:r>
              <w:rPr>
                <w:rFonts w:eastAsia="Calibri"/>
                <w:szCs w:val="24"/>
                <w:lang w:eastAsia="en-US"/>
              </w:rPr>
              <w:t>Mokyklos direktorius</w:t>
            </w:r>
          </w:p>
        </w:tc>
        <w:tc>
          <w:tcPr>
            <w:tcW w:w="4003" w:type="dxa"/>
            <w:tcBorders>
              <w:bottom w:val="single" w:sz="4" w:space="0" w:color="auto"/>
            </w:tcBorders>
            <w:shd w:val="clear" w:color="auto" w:fill="auto"/>
          </w:tcPr>
          <w:p w14:paraId="0BE3B9E4" w14:textId="77777777" w:rsidR="00422C32" w:rsidRDefault="00422C32">
            <w:pPr>
              <w:jc w:val="both"/>
              <w:rPr>
                <w:rFonts w:eastAsia="Calibri"/>
                <w:szCs w:val="24"/>
              </w:rPr>
            </w:pPr>
          </w:p>
        </w:tc>
        <w:tc>
          <w:tcPr>
            <w:tcW w:w="1560" w:type="dxa"/>
            <w:shd w:val="clear" w:color="auto" w:fill="auto"/>
          </w:tcPr>
          <w:p w14:paraId="3A5F091D" w14:textId="77777777" w:rsidR="00422C32" w:rsidRDefault="00422C32">
            <w:pPr>
              <w:jc w:val="both"/>
              <w:rPr>
                <w:rFonts w:eastAsia="Calibri"/>
                <w:szCs w:val="24"/>
              </w:rPr>
            </w:pPr>
          </w:p>
        </w:tc>
        <w:tc>
          <w:tcPr>
            <w:tcW w:w="3684" w:type="dxa"/>
            <w:tcBorders>
              <w:bottom w:val="single" w:sz="4" w:space="0" w:color="auto"/>
            </w:tcBorders>
            <w:shd w:val="clear" w:color="auto" w:fill="auto"/>
          </w:tcPr>
          <w:p w14:paraId="6AED7A98" w14:textId="77777777" w:rsidR="00422C32" w:rsidRDefault="00422C32">
            <w:pPr>
              <w:jc w:val="both"/>
              <w:rPr>
                <w:rFonts w:eastAsia="Calibri"/>
                <w:szCs w:val="24"/>
              </w:rPr>
            </w:pPr>
            <w:r>
              <w:rPr>
                <w:szCs w:val="24"/>
              </w:rPr>
              <w:t xml:space="preserve">Michailas </w:t>
            </w:r>
            <w:proofErr w:type="spellStart"/>
            <w:r>
              <w:rPr>
                <w:szCs w:val="24"/>
              </w:rPr>
              <w:t>Astašenkovas</w:t>
            </w:r>
            <w:proofErr w:type="spellEnd"/>
          </w:p>
        </w:tc>
      </w:tr>
    </w:tbl>
    <w:p w14:paraId="11DCF0A0" w14:textId="77777777" w:rsidR="00422C32" w:rsidRDefault="00422C32" w:rsidP="00422C32">
      <w:pPr>
        <w:rPr>
          <w:rFonts w:eastAsia="Calibri"/>
          <w:szCs w:val="24"/>
          <w:lang w:eastAsia="en-US"/>
        </w:rPr>
      </w:pPr>
    </w:p>
    <w:p w14:paraId="6407E910" w14:textId="77777777" w:rsidR="00422C32" w:rsidRDefault="00422C32" w:rsidP="00422C32">
      <w:pPr>
        <w:rPr>
          <w:rFonts w:eastAsia="Calibri"/>
          <w:szCs w:val="24"/>
          <w:lang w:eastAsia="en-US"/>
        </w:rPr>
      </w:pPr>
    </w:p>
    <w:p w14:paraId="1E84FAD5" w14:textId="77777777" w:rsidR="00422C32" w:rsidRDefault="00422C32" w:rsidP="00422C32">
      <w:pPr>
        <w:rPr>
          <w:rFonts w:eastAsia="Calibri"/>
          <w:szCs w:val="24"/>
          <w:lang w:eastAsia="en-US"/>
        </w:rPr>
      </w:pPr>
    </w:p>
    <w:p w14:paraId="6E97860F" w14:textId="77777777" w:rsidR="00422C32" w:rsidRPr="00CA31BC" w:rsidRDefault="00422C32" w:rsidP="00422C32">
      <w:pPr>
        <w:rPr>
          <w:rFonts w:eastAsia="Calibri"/>
          <w:szCs w:val="24"/>
          <w:lang w:eastAsia="en-US"/>
        </w:rPr>
      </w:pPr>
    </w:p>
    <w:p w14:paraId="45FECEA2" w14:textId="77777777" w:rsidR="002E1F99" w:rsidRDefault="002E1F99" w:rsidP="00107C26">
      <w:pPr>
        <w:pStyle w:val="Antrats"/>
        <w:tabs>
          <w:tab w:val="clear" w:pos="4153"/>
          <w:tab w:val="clear" w:pos="8306"/>
        </w:tabs>
      </w:pPr>
    </w:p>
    <w:p w14:paraId="5B49E6F4" w14:textId="77777777" w:rsidR="00F7723D" w:rsidRDefault="00F7723D" w:rsidP="00F27C80">
      <w:pPr>
        <w:pStyle w:val="Antrats"/>
        <w:tabs>
          <w:tab w:val="clear" w:pos="4153"/>
          <w:tab w:val="clear" w:pos="8306"/>
          <w:tab w:val="left" w:pos="709"/>
        </w:tabs>
      </w:pPr>
    </w:p>
    <w:p w14:paraId="3D2E1122" w14:textId="77777777" w:rsidR="005D0566" w:rsidRDefault="005D0566" w:rsidP="002E1F99">
      <w:pPr>
        <w:pStyle w:val="Pavadinimas"/>
        <w:jc w:val="left"/>
        <w:rPr>
          <w:b w:val="0"/>
        </w:rPr>
        <w:sectPr w:rsidR="005D0566" w:rsidSect="007F77EC">
          <w:pgSz w:w="16838" w:h="11906" w:orient="landscape" w:code="9"/>
          <w:pgMar w:top="1701" w:right="1134" w:bottom="680" w:left="1134" w:header="1134" w:footer="726" w:gutter="0"/>
          <w:cols w:space="1296"/>
          <w:titlePg/>
          <w:docGrid w:linePitch="360"/>
        </w:sectPr>
      </w:pPr>
    </w:p>
    <w:p w14:paraId="2B540DCF" w14:textId="77777777" w:rsidR="002E1F99" w:rsidRDefault="002E1F99" w:rsidP="002E1F99">
      <w:pPr>
        <w:pStyle w:val="Pavadinimas"/>
        <w:jc w:val="left"/>
        <w:rPr>
          <w:b w:val="0"/>
        </w:rPr>
      </w:pPr>
    </w:p>
    <w:p w14:paraId="52A28A7A" w14:textId="77777777" w:rsidR="00B668F0" w:rsidRDefault="00B668F0" w:rsidP="00B668F0">
      <w:pPr>
        <w:pStyle w:val="Pavadinimas"/>
        <w:pBdr>
          <w:bottom w:val="single" w:sz="12" w:space="1" w:color="auto"/>
        </w:pBdr>
      </w:pPr>
      <w:r>
        <w:t>JURBARKO RAJONO SAVIVALDYBĖS ADMINISTRACIJOS</w:t>
      </w:r>
    </w:p>
    <w:p w14:paraId="40A740B7" w14:textId="77777777" w:rsidR="005D0566" w:rsidRDefault="005D0566" w:rsidP="005D0566">
      <w:pPr>
        <w:pStyle w:val="Pavadinimas"/>
        <w:pBdr>
          <w:bottom w:val="single" w:sz="12" w:space="1" w:color="auto"/>
        </w:pBdr>
      </w:pPr>
      <w:r>
        <w:t>ŠVIETIMO, KULTŪROS IR SPORTO SKYRIUS</w:t>
      </w:r>
    </w:p>
    <w:p w14:paraId="6B6A7083" w14:textId="77777777" w:rsidR="006659E0" w:rsidRDefault="006659E0" w:rsidP="005D0566">
      <w:pPr>
        <w:pStyle w:val="Pavadinimas"/>
        <w:pBdr>
          <w:bottom w:val="single" w:sz="12" w:space="1" w:color="auto"/>
        </w:pBdr>
      </w:pPr>
    </w:p>
    <w:p w14:paraId="6D6B4F18" w14:textId="77777777" w:rsidR="002E1F99" w:rsidRDefault="002E1F99" w:rsidP="002E1F99">
      <w:pPr>
        <w:pStyle w:val="Paantrat"/>
      </w:pPr>
    </w:p>
    <w:p w14:paraId="48C62F26" w14:textId="77777777" w:rsidR="002E1F99" w:rsidRDefault="002E1F99" w:rsidP="002E1F99">
      <w:pPr>
        <w:pStyle w:val="Paantrat"/>
      </w:pPr>
      <w:r>
        <w:t>AIŠKINAMASIS RAŠTAS</w:t>
      </w:r>
    </w:p>
    <w:p w14:paraId="760BA024" w14:textId="77777777" w:rsidR="002E1F99" w:rsidRDefault="002E1F99" w:rsidP="002E1F99">
      <w:pPr>
        <w:jc w:val="center"/>
        <w:rPr>
          <w:caps/>
        </w:rPr>
      </w:pPr>
    </w:p>
    <w:p w14:paraId="370B6F0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E4B23" w:rsidRPr="00AE61D9">
        <w:rPr>
          <w:b/>
        </w:rPr>
        <w:fldChar w:fldCharType="begin">
          <w:ffData>
            <w:name w:val="DOC_DATA"/>
            <w:enabled/>
            <w:calcOnExit w:val="0"/>
            <w:textInput>
              <w:default w:val="{$DOC_DATA}"/>
            </w:textInput>
          </w:ffData>
        </w:fldChar>
      </w:r>
      <w:r w:rsidR="00703B50" w:rsidRPr="005231DA">
        <w:rPr>
          <w:b/>
        </w:rPr>
        <w:instrText xml:space="preserve"> FORMTEXT </w:instrText>
      </w:r>
      <w:r w:rsidR="00DE4B23" w:rsidRPr="00AE61D9">
        <w:rPr>
          <w:b/>
        </w:rPr>
      </w:r>
      <w:r w:rsidR="00DE4B23" w:rsidRPr="00AE61D9">
        <w:rPr>
          <w:b/>
        </w:rPr>
        <w:fldChar w:fldCharType="separate"/>
      </w:r>
      <w:r w:rsidR="00703B50" w:rsidRPr="005231DA">
        <w:rPr>
          <w:b/>
          <w:noProof/>
        </w:rPr>
        <w:t xml:space="preserve">DĖL </w:t>
      </w:r>
      <w:r w:rsidR="00703B50">
        <w:rPr>
          <w:b/>
          <w:noProof/>
        </w:rPr>
        <w:t xml:space="preserve">2023 METŲ </w:t>
      </w:r>
      <w:r w:rsidR="00703B50" w:rsidRPr="005231DA">
        <w:rPr>
          <w:b/>
          <w:noProof/>
        </w:rPr>
        <w:t>JURBARKO R</w:t>
      </w:r>
      <w:r w:rsidR="00703B50">
        <w:rPr>
          <w:b/>
          <w:noProof/>
        </w:rPr>
        <w:t>.</w:t>
      </w:r>
      <w:r w:rsidR="00703B50" w:rsidRPr="005231DA">
        <w:rPr>
          <w:b/>
          <w:noProof/>
        </w:rPr>
        <w:t xml:space="preserve"> KLAUSUČIŲ STASIO SANTVARO PAGRINDINĖS MOKYKLOS </w:t>
      </w:r>
      <w:r w:rsidR="00703B50">
        <w:rPr>
          <w:b/>
          <w:noProof/>
        </w:rPr>
        <w:t>METINIŲ ATASKAITŲ RINKINIO PATVIRTINIMO</w:t>
      </w:r>
      <w:r w:rsidR="00DE4B23" w:rsidRPr="00AE61D9">
        <w:rPr>
          <w:b/>
        </w:rPr>
        <w:fldChar w:fldCharType="end"/>
      </w:r>
      <w:r w:rsidRPr="00FD0852">
        <w:rPr>
          <w:b/>
          <w:szCs w:val="26"/>
        </w:rPr>
        <w:t>“</w:t>
      </w:r>
      <w:r w:rsidR="00031B2B" w:rsidRPr="00FD0852">
        <w:rPr>
          <w:b/>
          <w:szCs w:val="26"/>
        </w:rPr>
        <w:t xml:space="preserve"> </w:t>
      </w:r>
      <w:r>
        <w:rPr>
          <w:b/>
          <w:bCs/>
          <w:caps/>
        </w:rPr>
        <w:t>projekto</w:t>
      </w:r>
    </w:p>
    <w:p w14:paraId="4CAF3363" w14:textId="77777777" w:rsidR="002E1F99" w:rsidRDefault="002E1F99" w:rsidP="002E1F99">
      <w:pPr>
        <w:tabs>
          <w:tab w:val="left" w:pos="567"/>
        </w:tabs>
        <w:jc w:val="center"/>
      </w:pPr>
    </w:p>
    <w:p w14:paraId="7853409E" w14:textId="77777777" w:rsidR="00001758" w:rsidRDefault="00DE4B2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2CE2DD91" w14:textId="77777777" w:rsidR="002E1F99" w:rsidRDefault="002E1F99" w:rsidP="002E1F99">
      <w:pPr>
        <w:tabs>
          <w:tab w:val="left" w:pos="0"/>
        </w:tabs>
        <w:jc w:val="center"/>
      </w:pPr>
      <w:r>
        <w:t>Jurbarkas</w:t>
      </w:r>
    </w:p>
    <w:p w14:paraId="165ADA5F"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5D0566" w14:paraId="3AA58E1B" w14:textId="77777777" w:rsidTr="00290330">
        <w:tc>
          <w:tcPr>
            <w:tcW w:w="9741" w:type="dxa"/>
          </w:tcPr>
          <w:p w14:paraId="3678280F" w14:textId="77777777" w:rsidR="005D0566" w:rsidRDefault="005D0566" w:rsidP="00290330">
            <w:pPr>
              <w:tabs>
                <w:tab w:val="left" w:pos="0"/>
              </w:tabs>
              <w:rPr>
                <w:b/>
                <w:bCs/>
                <w:sz w:val="22"/>
              </w:rPr>
            </w:pPr>
            <w:r>
              <w:rPr>
                <w:b/>
                <w:bCs/>
                <w:i/>
                <w:iCs/>
                <w:sz w:val="22"/>
              </w:rPr>
              <w:t>1. Parengto projekto tikslai ir uždaviniai.</w:t>
            </w:r>
          </w:p>
        </w:tc>
      </w:tr>
      <w:tr w:rsidR="005D0566" w14:paraId="7D18FE35" w14:textId="77777777" w:rsidTr="00290330">
        <w:tc>
          <w:tcPr>
            <w:tcW w:w="9741" w:type="dxa"/>
          </w:tcPr>
          <w:p w14:paraId="7C4986A9" w14:textId="77777777" w:rsidR="005D0566" w:rsidRDefault="005D0566" w:rsidP="00290330">
            <w:pPr>
              <w:tabs>
                <w:tab w:val="left" w:pos="0"/>
              </w:tabs>
              <w:jc w:val="both"/>
              <w:rPr>
                <w:szCs w:val="24"/>
              </w:rPr>
            </w:pPr>
            <w:r>
              <w:rPr>
                <w:color w:val="000000"/>
              </w:rPr>
              <w:t xml:space="preserve">Patvirtinti 2023 m. </w:t>
            </w:r>
            <w:r>
              <w:rPr>
                <w:szCs w:val="24"/>
              </w:rPr>
              <w:t xml:space="preserve">Jurbarko r. Klausučių Stasio </w:t>
            </w:r>
            <w:proofErr w:type="spellStart"/>
            <w:r>
              <w:rPr>
                <w:szCs w:val="24"/>
              </w:rPr>
              <w:t>Santvaro</w:t>
            </w:r>
            <w:proofErr w:type="spellEnd"/>
            <w:r>
              <w:rPr>
                <w:szCs w:val="24"/>
              </w:rPr>
              <w:t xml:space="preserve"> pagrindinės mokyklos metinių ataskaitų rinkinį:</w:t>
            </w:r>
            <w:r w:rsidRPr="0009078D">
              <w:rPr>
                <w:szCs w:val="24"/>
                <w:lang w:eastAsia="ar-SA"/>
              </w:rPr>
              <w:t xml:space="preserve"> 2023 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p w14:paraId="2BBFEDF8" w14:textId="77777777" w:rsidR="005D0566" w:rsidRDefault="005D0566" w:rsidP="00290330">
            <w:pPr>
              <w:tabs>
                <w:tab w:val="left" w:pos="0"/>
              </w:tabs>
              <w:jc w:val="both"/>
              <w:rPr>
                <w:sz w:val="22"/>
              </w:rPr>
            </w:pPr>
          </w:p>
        </w:tc>
      </w:tr>
      <w:tr w:rsidR="005D0566" w14:paraId="3D74205B" w14:textId="77777777" w:rsidTr="00290330">
        <w:tc>
          <w:tcPr>
            <w:tcW w:w="9741" w:type="dxa"/>
          </w:tcPr>
          <w:p w14:paraId="42DD4385" w14:textId="77777777" w:rsidR="005D0566" w:rsidRDefault="005D0566" w:rsidP="00290330">
            <w:pPr>
              <w:tabs>
                <w:tab w:val="left" w:pos="0"/>
              </w:tabs>
              <w:rPr>
                <w:b/>
                <w:bCs/>
                <w:sz w:val="22"/>
              </w:rPr>
            </w:pPr>
            <w:r>
              <w:rPr>
                <w:b/>
                <w:bCs/>
                <w:i/>
                <w:iCs/>
                <w:sz w:val="22"/>
              </w:rPr>
              <w:t>2. Kaip šiuo metu yra sureguliuoti projekte aptarti klausimai.</w:t>
            </w:r>
          </w:p>
        </w:tc>
      </w:tr>
      <w:tr w:rsidR="005D0566" w14:paraId="468E95A0" w14:textId="77777777" w:rsidTr="00290330">
        <w:tc>
          <w:tcPr>
            <w:tcW w:w="9741" w:type="dxa"/>
          </w:tcPr>
          <w:p w14:paraId="2B0A1123" w14:textId="77777777" w:rsidR="005D0566" w:rsidRDefault="005D0566" w:rsidP="00290330">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3C402988" w14:textId="77777777" w:rsidR="005D0566" w:rsidRDefault="005D0566" w:rsidP="00290330">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ir metinių biudžeto vykdymo ataskaitų rinkinys.</w:t>
            </w:r>
          </w:p>
          <w:p w14:paraId="04861AA1" w14:textId="77777777" w:rsidR="005D0566" w:rsidRDefault="005D0566" w:rsidP="00290330">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27B84C43" w14:textId="77777777" w:rsidR="005D0566" w:rsidRDefault="005D0566" w:rsidP="00290330">
            <w:pPr>
              <w:jc w:val="both"/>
              <w:rPr>
                <w:color w:val="000000"/>
              </w:rPr>
            </w:pPr>
            <w:r w:rsidRPr="0009078D">
              <w:rPr>
                <w:szCs w:val="24"/>
              </w:rPr>
              <w:t xml:space="preserve">Ataskaitas pateikė </w:t>
            </w:r>
            <w:r>
              <w:rPr>
                <w:szCs w:val="24"/>
              </w:rPr>
              <w:t xml:space="preserve">Jurbarko r. Klausučių Stasio </w:t>
            </w:r>
            <w:proofErr w:type="spellStart"/>
            <w:r>
              <w:rPr>
                <w:szCs w:val="24"/>
              </w:rPr>
              <w:t>Santvaro</w:t>
            </w:r>
            <w:proofErr w:type="spellEnd"/>
            <w:r>
              <w:rPr>
                <w:szCs w:val="24"/>
              </w:rPr>
              <w:t xml:space="preserve"> pagrindinės mokyklos </w:t>
            </w:r>
            <w:r w:rsidRPr="0009078D">
              <w:rPr>
                <w:szCs w:val="24"/>
              </w:rPr>
              <w:t>direktorius teisės aktų nustatyta tvarka.</w:t>
            </w:r>
          </w:p>
          <w:p w14:paraId="64525B89" w14:textId="77777777" w:rsidR="005D0566" w:rsidRDefault="005D0566" w:rsidP="00290330">
            <w:pPr>
              <w:jc w:val="both"/>
              <w:rPr>
                <w:sz w:val="22"/>
              </w:rPr>
            </w:pPr>
          </w:p>
        </w:tc>
      </w:tr>
      <w:tr w:rsidR="005D0566" w14:paraId="41127959" w14:textId="77777777" w:rsidTr="00290330">
        <w:tc>
          <w:tcPr>
            <w:tcW w:w="9741" w:type="dxa"/>
          </w:tcPr>
          <w:p w14:paraId="670EE274" w14:textId="77777777" w:rsidR="005D0566" w:rsidRDefault="005D0566" w:rsidP="00290330">
            <w:pPr>
              <w:tabs>
                <w:tab w:val="left" w:pos="0"/>
              </w:tabs>
              <w:rPr>
                <w:b/>
                <w:bCs/>
                <w:i/>
                <w:iCs/>
                <w:sz w:val="22"/>
              </w:rPr>
            </w:pPr>
            <w:r>
              <w:rPr>
                <w:b/>
                <w:bCs/>
                <w:i/>
                <w:iCs/>
                <w:sz w:val="22"/>
              </w:rPr>
              <w:t>3. Kokių pozityvių rezultatų laukiama.</w:t>
            </w:r>
          </w:p>
        </w:tc>
      </w:tr>
      <w:tr w:rsidR="005D0566" w14:paraId="2549E149" w14:textId="77777777" w:rsidTr="00290330">
        <w:tc>
          <w:tcPr>
            <w:tcW w:w="9741" w:type="dxa"/>
          </w:tcPr>
          <w:p w14:paraId="7CC612CF" w14:textId="77777777" w:rsidR="005D0566" w:rsidRDefault="005D0566" w:rsidP="00290330">
            <w:pPr>
              <w:tabs>
                <w:tab w:val="left" w:pos="0"/>
              </w:tabs>
              <w:jc w:val="both"/>
              <w:rPr>
                <w:szCs w:val="24"/>
              </w:rPr>
            </w:pPr>
            <w:r w:rsidRPr="0009078D">
              <w:rPr>
                <w:szCs w:val="24"/>
              </w:rPr>
              <w:t>Bus įgyvendinti teisės aktų reikalavimai.</w:t>
            </w:r>
          </w:p>
          <w:p w14:paraId="55CC9A57" w14:textId="77777777" w:rsidR="005D0566" w:rsidRDefault="005D0566" w:rsidP="00290330">
            <w:pPr>
              <w:tabs>
                <w:tab w:val="left" w:pos="0"/>
              </w:tabs>
              <w:jc w:val="both"/>
              <w:rPr>
                <w:sz w:val="22"/>
              </w:rPr>
            </w:pPr>
          </w:p>
        </w:tc>
      </w:tr>
      <w:tr w:rsidR="005D0566" w14:paraId="28E5A81C" w14:textId="77777777" w:rsidTr="00290330">
        <w:tc>
          <w:tcPr>
            <w:tcW w:w="9741" w:type="dxa"/>
          </w:tcPr>
          <w:p w14:paraId="1E5473A8" w14:textId="77777777" w:rsidR="005D0566" w:rsidRDefault="005D0566" w:rsidP="00290330">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5D0566" w14:paraId="500F92C3" w14:textId="77777777" w:rsidTr="00290330">
        <w:tc>
          <w:tcPr>
            <w:tcW w:w="9741" w:type="dxa"/>
          </w:tcPr>
          <w:p w14:paraId="0D6EF6DE" w14:textId="77777777" w:rsidR="005D0566" w:rsidRDefault="005D0566" w:rsidP="00290330">
            <w:pPr>
              <w:tabs>
                <w:tab w:val="left" w:pos="0"/>
              </w:tabs>
              <w:jc w:val="both"/>
              <w:rPr>
                <w:szCs w:val="24"/>
              </w:rPr>
            </w:pPr>
            <w:r w:rsidRPr="00712690">
              <w:rPr>
                <w:szCs w:val="24"/>
              </w:rPr>
              <w:t>Nenumatomos</w:t>
            </w:r>
          </w:p>
          <w:p w14:paraId="75015B11" w14:textId="77777777" w:rsidR="005D0566" w:rsidRDefault="005D0566" w:rsidP="00290330">
            <w:pPr>
              <w:tabs>
                <w:tab w:val="left" w:pos="0"/>
              </w:tabs>
              <w:jc w:val="both"/>
              <w:rPr>
                <w:sz w:val="20"/>
              </w:rPr>
            </w:pPr>
          </w:p>
        </w:tc>
      </w:tr>
      <w:tr w:rsidR="005D0566" w14:paraId="0089979D" w14:textId="77777777" w:rsidTr="00290330">
        <w:tc>
          <w:tcPr>
            <w:tcW w:w="9741" w:type="dxa"/>
          </w:tcPr>
          <w:p w14:paraId="007E18C9" w14:textId="77777777" w:rsidR="005D0566" w:rsidRDefault="005D0566" w:rsidP="00290330">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5D0566" w14:paraId="2AA120C0" w14:textId="77777777" w:rsidTr="00290330">
        <w:tc>
          <w:tcPr>
            <w:tcW w:w="9741" w:type="dxa"/>
          </w:tcPr>
          <w:p w14:paraId="398A052E" w14:textId="77777777" w:rsidR="005D0566" w:rsidRDefault="005D0566" w:rsidP="00290330">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7EF57BF3" w14:textId="77777777" w:rsidR="005D0566" w:rsidRDefault="005D0566" w:rsidP="00290330">
            <w:pPr>
              <w:tabs>
                <w:tab w:val="left" w:pos="0"/>
              </w:tabs>
              <w:jc w:val="both"/>
              <w:rPr>
                <w:sz w:val="22"/>
              </w:rPr>
            </w:pPr>
          </w:p>
        </w:tc>
      </w:tr>
      <w:tr w:rsidR="005D0566" w14:paraId="36EC4AEA" w14:textId="77777777" w:rsidTr="00290330">
        <w:tc>
          <w:tcPr>
            <w:tcW w:w="9741" w:type="dxa"/>
          </w:tcPr>
          <w:p w14:paraId="027228D1" w14:textId="77777777" w:rsidR="005D0566" w:rsidRDefault="005D0566" w:rsidP="00290330">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0947CD7" w14:textId="77777777" w:rsidR="005D0566" w:rsidRDefault="005D0566" w:rsidP="00290330">
            <w:pPr>
              <w:tabs>
                <w:tab w:val="left" w:pos="0"/>
              </w:tabs>
              <w:rPr>
                <w:bCs/>
                <w:iCs/>
                <w:szCs w:val="24"/>
              </w:rPr>
            </w:pPr>
            <w:r w:rsidRPr="002C723D">
              <w:rPr>
                <w:bCs/>
                <w:iCs/>
                <w:szCs w:val="24"/>
              </w:rPr>
              <w:t>Nebuvo gauta jokių siūlymų, finansavimas nereikalingas</w:t>
            </w:r>
            <w:r>
              <w:rPr>
                <w:bCs/>
                <w:iCs/>
                <w:szCs w:val="24"/>
              </w:rPr>
              <w:t>.</w:t>
            </w:r>
          </w:p>
          <w:p w14:paraId="0B8636AD" w14:textId="77777777" w:rsidR="005D0566" w:rsidRDefault="005D0566" w:rsidP="00290330">
            <w:pPr>
              <w:tabs>
                <w:tab w:val="left" w:pos="0"/>
              </w:tabs>
              <w:rPr>
                <w:b/>
                <w:bCs/>
                <w:i/>
                <w:iCs/>
                <w:sz w:val="22"/>
              </w:rPr>
            </w:pPr>
          </w:p>
        </w:tc>
      </w:tr>
      <w:tr w:rsidR="005D0566" w14:paraId="19B3EB74" w14:textId="77777777" w:rsidTr="00290330">
        <w:tc>
          <w:tcPr>
            <w:tcW w:w="9741" w:type="dxa"/>
          </w:tcPr>
          <w:p w14:paraId="2202B219" w14:textId="77777777" w:rsidR="005D0566" w:rsidRDefault="005D0566" w:rsidP="00290330">
            <w:pPr>
              <w:tabs>
                <w:tab w:val="left" w:pos="0"/>
              </w:tabs>
              <w:jc w:val="both"/>
              <w:rPr>
                <w:b/>
                <w:i/>
                <w:sz w:val="22"/>
              </w:rPr>
            </w:pPr>
            <w:r>
              <w:rPr>
                <w:b/>
                <w:i/>
                <w:sz w:val="22"/>
              </w:rPr>
              <w:t>7. Ar reikalingas projekto antikorupcinis vertinimas.</w:t>
            </w:r>
          </w:p>
          <w:p w14:paraId="5C7740AC" w14:textId="77777777" w:rsidR="005D0566" w:rsidRDefault="005D0566" w:rsidP="00290330">
            <w:pPr>
              <w:tabs>
                <w:tab w:val="left" w:pos="0"/>
              </w:tabs>
              <w:jc w:val="both"/>
              <w:rPr>
                <w:sz w:val="22"/>
              </w:rPr>
            </w:pPr>
            <w:r>
              <w:rPr>
                <w:sz w:val="22"/>
              </w:rPr>
              <w:t>Ne</w:t>
            </w:r>
          </w:p>
          <w:p w14:paraId="65F8ED49" w14:textId="77777777" w:rsidR="005D0566" w:rsidRDefault="005D0566" w:rsidP="00290330">
            <w:pPr>
              <w:tabs>
                <w:tab w:val="left" w:pos="0"/>
              </w:tabs>
              <w:jc w:val="both"/>
              <w:rPr>
                <w:sz w:val="22"/>
              </w:rPr>
            </w:pPr>
          </w:p>
        </w:tc>
      </w:tr>
      <w:tr w:rsidR="005D0566" w14:paraId="4645A84D" w14:textId="77777777" w:rsidTr="00290330">
        <w:tc>
          <w:tcPr>
            <w:tcW w:w="9741" w:type="dxa"/>
          </w:tcPr>
          <w:p w14:paraId="265C8421" w14:textId="77777777" w:rsidR="005D0566" w:rsidRDefault="005D0566" w:rsidP="00290330">
            <w:pPr>
              <w:tabs>
                <w:tab w:val="left" w:pos="0"/>
              </w:tabs>
              <w:jc w:val="both"/>
              <w:rPr>
                <w:b/>
                <w:i/>
                <w:sz w:val="22"/>
              </w:rPr>
            </w:pPr>
            <w:r>
              <w:rPr>
                <w:b/>
                <w:i/>
                <w:sz w:val="22"/>
              </w:rPr>
              <w:t>8. Projekto iniciatorius, autorius ar autorių grupė.</w:t>
            </w:r>
          </w:p>
        </w:tc>
      </w:tr>
      <w:tr w:rsidR="005D0566" w14:paraId="33893B26" w14:textId="77777777" w:rsidTr="00290330">
        <w:tc>
          <w:tcPr>
            <w:tcW w:w="9741" w:type="dxa"/>
          </w:tcPr>
          <w:p w14:paraId="7956624B" w14:textId="77777777" w:rsidR="005D0566" w:rsidRDefault="005D0566" w:rsidP="00290330">
            <w:pPr>
              <w:tabs>
                <w:tab w:val="left" w:pos="0"/>
              </w:tabs>
              <w:jc w:val="both"/>
              <w:rPr>
                <w:bCs/>
                <w:iCs/>
                <w:szCs w:val="24"/>
              </w:rPr>
            </w:pPr>
            <w:r>
              <w:rPr>
                <w:szCs w:val="24"/>
              </w:rPr>
              <w:t xml:space="preserve">Jurbarko r. Klausučių Stasio </w:t>
            </w:r>
            <w:proofErr w:type="spellStart"/>
            <w:r>
              <w:rPr>
                <w:szCs w:val="24"/>
              </w:rPr>
              <w:t>Santvaro</w:t>
            </w:r>
            <w:proofErr w:type="spellEnd"/>
            <w:r>
              <w:rPr>
                <w:szCs w:val="24"/>
              </w:rPr>
              <w:t xml:space="preserve"> pagrindinės mokyklos </w:t>
            </w:r>
            <w:r w:rsidRPr="00141C87">
              <w:rPr>
                <w:bCs/>
                <w:iCs/>
                <w:szCs w:val="24"/>
              </w:rPr>
              <w:t>direktor</w:t>
            </w:r>
            <w:r>
              <w:rPr>
                <w:bCs/>
                <w:iCs/>
                <w:szCs w:val="24"/>
              </w:rPr>
              <w:t>ius</w:t>
            </w:r>
            <w:r w:rsidRPr="00141C87">
              <w:rPr>
                <w:bCs/>
                <w:iCs/>
                <w:szCs w:val="24"/>
              </w:rPr>
              <w:t xml:space="preserve"> </w:t>
            </w:r>
            <w:r>
              <w:rPr>
                <w:bCs/>
                <w:iCs/>
                <w:szCs w:val="24"/>
              </w:rPr>
              <w:t xml:space="preserve">Michailas </w:t>
            </w:r>
            <w:proofErr w:type="spellStart"/>
            <w:r>
              <w:rPr>
                <w:bCs/>
                <w:iCs/>
                <w:szCs w:val="24"/>
              </w:rPr>
              <w:t>Astašenkovas</w:t>
            </w:r>
            <w:proofErr w:type="spellEnd"/>
            <w:r w:rsidRPr="00141C87">
              <w:rPr>
                <w:bCs/>
                <w:iCs/>
                <w:szCs w:val="24"/>
              </w:rPr>
              <w:t xml:space="preserve">, Švietimo, kultūros ir sporto skyriaus vyriausioji specialistė Loreta </w:t>
            </w:r>
            <w:proofErr w:type="spellStart"/>
            <w:r w:rsidRPr="00141C87">
              <w:rPr>
                <w:bCs/>
                <w:iCs/>
                <w:szCs w:val="24"/>
              </w:rPr>
              <w:t>Knašienė</w:t>
            </w:r>
            <w:proofErr w:type="spellEnd"/>
          </w:p>
          <w:p w14:paraId="0205CCAA" w14:textId="77777777" w:rsidR="005D0566" w:rsidRDefault="005D0566" w:rsidP="00290330">
            <w:pPr>
              <w:tabs>
                <w:tab w:val="left" w:pos="0"/>
              </w:tabs>
              <w:jc w:val="both"/>
              <w:rPr>
                <w:sz w:val="22"/>
              </w:rPr>
            </w:pPr>
          </w:p>
        </w:tc>
      </w:tr>
      <w:tr w:rsidR="005D0566" w14:paraId="35B30FD2" w14:textId="77777777" w:rsidTr="00290330">
        <w:tc>
          <w:tcPr>
            <w:tcW w:w="9741" w:type="dxa"/>
          </w:tcPr>
          <w:p w14:paraId="32AEECC9" w14:textId="77777777" w:rsidR="005D0566" w:rsidRDefault="005D0566" w:rsidP="00290330">
            <w:pPr>
              <w:tabs>
                <w:tab w:val="left" w:pos="0"/>
              </w:tabs>
              <w:rPr>
                <w:b/>
                <w:bCs/>
                <w:i/>
                <w:iCs/>
                <w:sz w:val="22"/>
              </w:rPr>
            </w:pPr>
            <w:r>
              <w:rPr>
                <w:b/>
                <w:bCs/>
                <w:i/>
                <w:iCs/>
                <w:sz w:val="22"/>
              </w:rPr>
              <w:lastRenderedPageBreak/>
              <w:t>9. Kiti, autorių nuomone, reikalingi pagrindimai ir paaiškinimai.</w:t>
            </w:r>
          </w:p>
          <w:p w14:paraId="7BBEAC8A" w14:textId="77777777" w:rsidR="005D0566" w:rsidRDefault="005D0566" w:rsidP="00290330">
            <w:pPr>
              <w:tabs>
                <w:tab w:val="left" w:pos="0"/>
              </w:tabs>
              <w:jc w:val="both"/>
              <w:rPr>
                <w:szCs w:val="24"/>
              </w:rPr>
            </w:pPr>
            <w:r w:rsidRPr="00551D78">
              <w:rPr>
                <w:szCs w:val="24"/>
              </w:rPr>
              <w:t>Nebuvo</w:t>
            </w:r>
          </w:p>
          <w:p w14:paraId="5CEE1BF3" w14:textId="77777777" w:rsidR="005D0566" w:rsidRDefault="005D0566" w:rsidP="00290330">
            <w:pPr>
              <w:tabs>
                <w:tab w:val="left" w:pos="0"/>
              </w:tabs>
              <w:jc w:val="both"/>
              <w:rPr>
                <w:b/>
                <w:bCs/>
                <w:i/>
                <w:iCs/>
                <w:sz w:val="22"/>
              </w:rPr>
            </w:pPr>
          </w:p>
        </w:tc>
      </w:tr>
      <w:tr w:rsidR="005D0566" w14:paraId="19D3823E" w14:textId="77777777" w:rsidTr="00290330">
        <w:tc>
          <w:tcPr>
            <w:tcW w:w="9741" w:type="dxa"/>
          </w:tcPr>
          <w:p w14:paraId="3172BD43" w14:textId="77777777" w:rsidR="005D0566" w:rsidRDefault="005D0566" w:rsidP="00290330">
            <w:pPr>
              <w:tabs>
                <w:tab w:val="left" w:pos="0"/>
              </w:tabs>
              <w:jc w:val="both"/>
              <w:rPr>
                <w:b/>
                <w:i/>
                <w:sz w:val="22"/>
              </w:rPr>
            </w:pPr>
            <w:r>
              <w:rPr>
                <w:b/>
                <w:i/>
                <w:sz w:val="22"/>
              </w:rPr>
              <w:t>10. Sprendimas įteikiamas (kam ir kiek egz.).</w:t>
            </w:r>
          </w:p>
        </w:tc>
      </w:tr>
      <w:tr w:rsidR="005D0566" w14:paraId="2352F7F5" w14:textId="77777777" w:rsidTr="00290330">
        <w:tc>
          <w:tcPr>
            <w:tcW w:w="9741" w:type="dxa"/>
          </w:tcPr>
          <w:p w14:paraId="62384243" w14:textId="77777777" w:rsidR="005D0566" w:rsidRDefault="005D0566" w:rsidP="00290330">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r. Klausučių Stasio </w:t>
            </w:r>
            <w:proofErr w:type="spellStart"/>
            <w:r>
              <w:rPr>
                <w:szCs w:val="24"/>
              </w:rPr>
              <w:t>Santvaro</w:t>
            </w:r>
            <w:proofErr w:type="spellEnd"/>
            <w:r>
              <w:rPr>
                <w:szCs w:val="24"/>
              </w:rPr>
              <w:t xml:space="preserve"> pagrindinei mokyklai </w:t>
            </w:r>
            <w:r w:rsidRPr="002C723D">
              <w:rPr>
                <w:szCs w:val="24"/>
              </w:rPr>
              <w:t>– el. paštu</w:t>
            </w:r>
            <w:r>
              <w:rPr>
                <w:szCs w:val="24"/>
              </w:rPr>
              <w:t>.</w:t>
            </w:r>
          </w:p>
        </w:tc>
      </w:tr>
    </w:tbl>
    <w:p w14:paraId="40FF2FE5" w14:textId="77777777" w:rsidR="006A29E6" w:rsidRDefault="006A29E6" w:rsidP="006A29E6"/>
    <w:p w14:paraId="18DD3F62" w14:textId="77777777" w:rsidR="005D0566" w:rsidRDefault="005D0566" w:rsidP="006A29E6"/>
    <w:p w14:paraId="7AD5483F" w14:textId="77777777" w:rsidR="006A29E6" w:rsidRDefault="006A29E6" w:rsidP="006A29E6"/>
    <w:p w14:paraId="63419B2F" w14:textId="77777777" w:rsidR="002E1F99" w:rsidRDefault="002E1F99" w:rsidP="002E1F99">
      <w:pPr>
        <w:tabs>
          <w:tab w:val="left" w:pos="567"/>
        </w:tabs>
      </w:pPr>
    </w:p>
    <w:p w14:paraId="66EB557B" w14:textId="77777777" w:rsidR="002E1F99" w:rsidRDefault="002E1F99" w:rsidP="002E1F99">
      <w:pPr>
        <w:tabs>
          <w:tab w:val="left" w:pos="567"/>
        </w:tabs>
      </w:pPr>
    </w:p>
    <w:p w14:paraId="6D3B2FBD" w14:textId="77777777" w:rsidR="00B668F0" w:rsidRDefault="00B668F0" w:rsidP="00B668F0">
      <w:r>
        <w:t>Parengė</w:t>
      </w:r>
    </w:p>
    <w:p w14:paraId="12A3609F" w14:textId="77777777" w:rsidR="00B668F0" w:rsidRDefault="00B668F0" w:rsidP="00B668F0"/>
    <w:p w14:paraId="20BE6A16" w14:textId="77777777" w:rsidR="00B668F0" w:rsidRDefault="00DE4B2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43F89BEB" w14:textId="77777777" w:rsidR="00B668F0" w:rsidRDefault="00B668F0" w:rsidP="00B668F0">
      <w:pPr>
        <w:pStyle w:val="Antrats"/>
        <w:tabs>
          <w:tab w:val="clear" w:pos="4153"/>
          <w:tab w:val="clear" w:pos="8306"/>
        </w:tabs>
        <w:rPr>
          <w:lang w:eastAsia="de-DE"/>
        </w:rPr>
      </w:pPr>
    </w:p>
    <w:p w14:paraId="33825C9D" w14:textId="77777777" w:rsidR="00B668F0" w:rsidRDefault="00DE4B23"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2B27CF80" w14:textId="77777777" w:rsidR="006A29E6" w:rsidRDefault="006A29E6" w:rsidP="00B668F0"/>
    <w:sectPr w:rsidR="006A29E6" w:rsidSect="007F77EC">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24F86" w14:textId="77777777" w:rsidR="007F77EC" w:rsidRDefault="007F77EC">
      <w:r>
        <w:separator/>
      </w:r>
    </w:p>
  </w:endnote>
  <w:endnote w:type="continuationSeparator" w:id="0">
    <w:p w14:paraId="5583084C" w14:textId="77777777" w:rsidR="007F77EC" w:rsidRDefault="007F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642EB" w14:textId="77777777" w:rsidR="007F77EC" w:rsidRDefault="007F77EC">
      <w:r>
        <w:separator/>
      </w:r>
    </w:p>
  </w:footnote>
  <w:footnote w:type="continuationSeparator" w:id="0">
    <w:p w14:paraId="533E237D" w14:textId="77777777" w:rsidR="007F77EC" w:rsidRDefault="007F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87D1" w14:textId="77777777" w:rsidR="00FC1CD3" w:rsidRDefault="00DE4B2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CF93E0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602A" w14:textId="77777777" w:rsidR="00FC1CD3" w:rsidRDefault="00FC1CD3">
    <w:pPr>
      <w:pStyle w:val="Antrats"/>
      <w:framePr w:wrap="around" w:vAnchor="text" w:hAnchor="margin" w:xAlign="center" w:y="1"/>
      <w:rPr>
        <w:rStyle w:val="Puslapionumeris"/>
      </w:rPr>
    </w:pPr>
  </w:p>
  <w:p w14:paraId="2D4AD11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05252571">
    <w:abstractNumId w:val="4"/>
  </w:num>
  <w:num w:numId="2" w16cid:durableId="1045444412">
    <w:abstractNumId w:val="2"/>
  </w:num>
  <w:num w:numId="3" w16cid:durableId="2123569936">
    <w:abstractNumId w:val="5"/>
  </w:num>
  <w:num w:numId="4" w16cid:durableId="369109027">
    <w:abstractNumId w:val="1"/>
  </w:num>
  <w:num w:numId="5" w16cid:durableId="310520385">
    <w:abstractNumId w:val="7"/>
  </w:num>
  <w:num w:numId="6" w16cid:durableId="1637876390">
    <w:abstractNumId w:val="6"/>
  </w:num>
  <w:num w:numId="7" w16cid:durableId="1326275583">
    <w:abstractNumId w:val="0"/>
  </w:num>
  <w:num w:numId="8" w16cid:durableId="286395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6419"/>
    <w:rsid w:val="00073ECC"/>
    <w:rsid w:val="00076A1D"/>
    <w:rsid w:val="000773EB"/>
    <w:rsid w:val="00085739"/>
    <w:rsid w:val="000E1F44"/>
    <w:rsid w:val="0010176C"/>
    <w:rsid w:val="00107C26"/>
    <w:rsid w:val="00117349"/>
    <w:rsid w:val="001234A8"/>
    <w:rsid w:val="00124B53"/>
    <w:rsid w:val="00130B54"/>
    <w:rsid w:val="0013367C"/>
    <w:rsid w:val="0015078A"/>
    <w:rsid w:val="00152F39"/>
    <w:rsid w:val="0016226A"/>
    <w:rsid w:val="00172D6E"/>
    <w:rsid w:val="00181E5E"/>
    <w:rsid w:val="00182224"/>
    <w:rsid w:val="00186467"/>
    <w:rsid w:val="00190B66"/>
    <w:rsid w:val="001927AB"/>
    <w:rsid w:val="001952BC"/>
    <w:rsid w:val="001D4EA6"/>
    <w:rsid w:val="00203CFC"/>
    <w:rsid w:val="00207BCB"/>
    <w:rsid w:val="00226341"/>
    <w:rsid w:val="002325F6"/>
    <w:rsid w:val="00234B9B"/>
    <w:rsid w:val="00246055"/>
    <w:rsid w:val="00251454"/>
    <w:rsid w:val="00281984"/>
    <w:rsid w:val="002D5D10"/>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22C32"/>
    <w:rsid w:val="00433D3F"/>
    <w:rsid w:val="00434B34"/>
    <w:rsid w:val="00435B30"/>
    <w:rsid w:val="00445CDE"/>
    <w:rsid w:val="00454723"/>
    <w:rsid w:val="00460718"/>
    <w:rsid w:val="004B0CB9"/>
    <w:rsid w:val="004B1E88"/>
    <w:rsid w:val="004B2369"/>
    <w:rsid w:val="004B3700"/>
    <w:rsid w:val="004B7BDB"/>
    <w:rsid w:val="00501C69"/>
    <w:rsid w:val="005029F3"/>
    <w:rsid w:val="005209D1"/>
    <w:rsid w:val="00520A16"/>
    <w:rsid w:val="005231DA"/>
    <w:rsid w:val="00542B92"/>
    <w:rsid w:val="00551276"/>
    <w:rsid w:val="00553547"/>
    <w:rsid w:val="00570AD7"/>
    <w:rsid w:val="00593FFF"/>
    <w:rsid w:val="005B2122"/>
    <w:rsid w:val="005C31CD"/>
    <w:rsid w:val="005D0566"/>
    <w:rsid w:val="005D1F24"/>
    <w:rsid w:val="005D5D46"/>
    <w:rsid w:val="00600799"/>
    <w:rsid w:val="006046BD"/>
    <w:rsid w:val="00641E12"/>
    <w:rsid w:val="006659E0"/>
    <w:rsid w:val="00673C21"/>
    <w:rsid w:val="006854E0"/>
    <w:rsid w:val="00686E66"/>
    <w:rsid w:val="00697D48"/>
    <w:rsid w:val="006A29E6"/>
    <w:rsid w:val="006B72D3"/>
    <w:rsid w:val="006C6B10"/>
    <w:rsid w:val="006F35F0"/>
    <w:rsid w:val="00703B50"/>
    <w:rsid w:val="0073170A"/>
    <w:rsid w:val="00732616"/>
    <w:rsid w:val="00734333"/>
    <w:rsid w:val="00744E20"/>
    <w:rsid w:val="007457FF"/>
    <w:rsid w:val="00771DAD"/>
    <w:rsid w:val="007860A8"/>
    <w:rsid w:val="00787550"/>
    <w:rsid w:val="007A2EE1"/>
    <w:rsid w:val="007E13A9"/>
    <w:rsid w:val="007E57D4"/>
    <w:rsid w:val="007F77EC"/>
    <w:rsid w:val="008030DA"/>
    <w:rsid w:val="00832B07"/>
    <w:rsid w:val="00843D02"/>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6D8D"/>
    <w:rsid w:val="008E7416"/>
    <w:rsid w:val="008F41AE"/>
    <w:rsid w:val="008F651B"/>
    <w:rsid w:val="00924C3B"/>
    <w:rsid w:val="00930BCB"/>
    <w:rsid w:val="00931D64"/>
    <w:rsid w:val="0093337F"/>
    <w:rsid w:val="0096266A"/>
    <w:rsid w:val="0098095A"/>
    <w:rsid w:val="00992B19"/>
    <w:rsid w:val="009A6D33"/>
    <w:rsid w:val="009B5344"/>
    <w:rsid w:val="009C68F2"/>
    <w:rsid w:val="00A00DC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0541"/>
    <w:rsid w:val="00B137E9"/>
    <w:rsid w:val="00B14102"/>
    <w:rsid w:val="00B3132C"/>
    <w:rsid w:val="00B3497C"/>
    <w:rsid w:val="00B418C7"/>
    <w:rsid w:val="00B42A07"/>
    <w:rsid w:val="00B54A3C"/>
    <w:rsid w:val="00B57A83"/>
    <w:rsid w:val="00B668F0"/>
    <w:rsid w:val="00B728BD"/>
    <w:rsid w:val="00B81EF2"/>
    <w:rsid w:val="00B82C13"/>
    <w:rsid w:val="00B8562E"/>
    <w:rsid w:val="00B92B25"/>
    <w:rsid w:val="00B951B0"/>
    <w:rsid w:val="00B96F74"/>
    <w:rsid w:val="00BA627E"/>
    <w:rsid w:val="00BA7260"/>
    <w:rsid w:val="00BA7D22"/>
    <w:rsid w:val="00BB303D"/>
    <w:rsid w:val="00BF582B"/>
    <w:rsid w:val="00C0081B"/>
    <w:rsid w:val="00C02331"/>
    <w:rsid w:val="00C04267"/>
    <w:rsid w:val="00C13615"/>
    <w:rsid w:val="00C1630A"/>
    <w:rsid w:val="00C31AC9"/>
    <w:rsid w:val="00C42389"/>
    <w:rsid w:val="00C42BD3"/>
    <w:rsid w:val="00C43EC0"/>
    <w:rsid w:val="00C531AF"/>
    <w:rsid w:val="00C61D7C"/>
    <w:rsid w:val="00C65F5E"/>
    <w:rsid w:val="00C67763"/>
    <w:rsid w:val="00C7179E"/>
    <w:rsid w:val="00C76C50"/>
    <w:rsid w:val="00C800F0"/>
    <w:rsid w:val="00C83B11"/>
    <w:rsid w:val="00C95C12"/>
    <w:rsid w:val="00CC0BB5"/>
    <w:rsid w:val="00CE2BB0"/>
    <w:rsid w:val="00CE349F"/>
    <w:rsid w:val="00CE69FB"/>
    <w:rsid w:val="00D32D0D"/>
    <w:rsid w:val="00D513AA"/>
    <w:rsid w:val="00D52EF0"/>
    <w:rsid w:val="00D60556"/>
    <w:rsid w:val="00D75F4B"/>
    <w:rsid w:val="00D82C9A"/>
    <w:rsid w:val="00DA0452"/>
    <w:rsid w:val="00DC38E8"/>
    <w:rsid w:val="00DD58E1"/>
    <w:rsid w:val="00DE293E"/>
    <w:rsid w:val="00DE4B23"/>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38AD06"/>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422C3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12203</Words>
  <Characters>6956</Characters>
  <Application>Microsoft Office Word</Application>
  <DocSecurity>0</DocSecurity>
  <Lines>57</Lines>
  <Paragraphs>38</Paragraphs>
  <ScaleCrop>false</ScaleCrop>
  <Company>Sveikatos apsaugos ministerija</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2024-04-15T08:43:00Z</dcterms:created>
  <dcterms:modified xsi:type="dcterms:W3CDTF">2024-04-15T08:43:00Z</dcterms:modified>
</cp:coreProperties>
</file>