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A8FA1" w14:textId="77777777" w:rsidR="00FC1CD3" w:rsidRDefault="00F320CA" w:rsidP="00F320CA">
      <w:pPr>
        <w:jc w:val="right"/>
        <w:rPr>
          <w:lang w:val="en-US"/>
        </w:rPr>
      </w:pPr>
      <w:r>
        <w:t>Projektas</w:t>
      </w:r>
    </w:p>
    <w:p w14:paraId="10B4F439" w14:textId="77777777" w:rsidR="00F320CA" w:rsidRDefault="00F320CA">
      <w:pPr>
        <w:jc w:val="center"/>
        <w:rPr>
          <w:b/>
          <w:bCs/>
          <w:lang w:val="en-US"/>
        </w:rPr>
      </w:pPr>
    </w:p>
    <w:p w14:paraId="0909F54B" w14:textId="77777777" w:rsidR="00FC1CD3" w:rsidRDefault="00F20019">
      <w:pPr>
        <w:jc w:val="center"/>
        <w:rPr>
          <w:b/>
        </w:rPr>
      </w:pPr>
      <w:r>
        <w:rPr>
          <w:b/>
          <w:lang w:val="en-US"/>
        </w:rPr>
        <w:t xml:space="preserve">JURBARKO RAJONO </w:t>
      </w:r>
      <w:r>
        <w:rPr>
          <w:b/>
        </w:rPr>
        <w:t>SAVIVALDYBĖS TARYBA</w:t>
      </w:r>
    </w:p>
    <w:p w14:paraId="5E13F5C4"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5D4423A" w14:textId="77777777">
        <w:trPr>
          <w:cantSplit/>
        </w:trPr>
        <w:tc>
          <w:tcPr>
            <w:tcW w:w="9654" w:type="dxa"/>
            <w:tcBorders>
              <w:top w:val="nil"/>
              <w:left w:val="nil"/>
              <w:bottom w:val="nil"/>
              <w:right w:val="nil"/>
            </w:tcBorders>
          </w:tcPr>
          <w:p w14:paraId="3EC850E5" w14:textId="77777777" w:rsidR="00FC1CD3" w:rsidRDefault="00F20019">
            <w:pPr>
              <w:pStyle w:val="Antrat1"/>
              <w:rPr>
                <w:caps/>
                <w:szCs w:val="24"/>
                <w:lang w:val="lt-LT"/>
              </w:rPr>
            </w:pPr>
            <w:r>
              <w:rPr>
                <w:szCs w:val="24"/>
                <w:lang w:val="lt-LT"/>
              </w:rPr>
              <w:t>SPRENDIMAS</w:t>
            </w:r>
          </w:p>
        </w:tc>
      </w:tr>
      <w:bookmarkStart w:id="0" w:name="DOC_DATA"/>
      <w:tr w:rsidR="00FC1CD3" w14:paraId="466B83A9" w14:textId="77777777">
        <w:trPr>
          <w:cantSplit/>
        </w:trPr>
        <w:tc>
          <w:tcPr>
            <w:tcW w:w="9654" w:type="dxa"/>
            <w:tcBorders>
              <w:top w:val="nil"/>
              <w:left w:val="nil"/>
              <w:bottom w:val="nil"/>
              <w:right w:val="nil"/>
            </w:tcBorders>
          </w:tcPr>
          <w:p w14:paraId="5AFD6729" w14:textId="77777777" w:rsidR="00FC1CD3" w:rsidRPr="00AE61D9" w:rsidRDefault="00CB165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w:t>
            </w:r>
            <w:r w:rsidR="002930A8">
              <w:rPr>
                <w:b/>
                <w:noProof/>
              </w:rPr>
              <w:t xml:space="preserve">2023 METŲ </w:t>
            </w:r>
            <w:r w:rsidR="00F20019" w:rsidRPr="005231DA">
              <w:rPr>
                <w:b/>
                <w:noProof/>
              </w:rPr>
              <w:t xml:space="preserve">JURBARKO RAJONO VIEŠVILĖS PAGRINDINĖS MOKYKLOS </w:t>
            </w:r>
            <w:r w:rsidR="000252AB">
              <w:rPr>
                <w:b/>
                <w:noProof/>
              </w:rPr>
              <w:t>METINIŲ ATASKAITŲ RINKINI</w:t>
            </w:r>
            <w:r w:rsidR="002930A8">
              <w:rPr>
                <w:b/>
                <w:noProof/>
              </w:rPr>
              <w:t>O PATVIRTINIM</w:t>
            </w:r>
            <w:r w:rsidR="000252AB">
              <w:rPr>
                <w:b/>
                <w:noProof/>
              </w:rPr>
              <w:t>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07A97BA8" w14:textId="77777777">
        <w:trPr>
          <w:cantSplit/>
        </w:trPr>
        <w:tc>
          <w:tcPr>
            <w:tcW w:w="9654" w:type="dxa"/>
            <w:tcBorders>
              <w:top w:val="nil"/>
              <w:left w:val="nil"/>
              <w:bottom w:val="nil"/>
              <w:right w:val="nil"/>
            </w:tcBorders>
          </w:tcPr>
          <w:p w14:paraId="25A6B639" w14:textId="77777777" w:rsidR="00FC1CD3" w:rsidRPr="00AE61D9" w:rsidRDefault="00FC1CD3">
            <w:pPr>
              <w:pStyle w:val="Antrats"/>
              <w:tabs>
                <w:tab w:val="left" w:pos="1296"/>
              </w:tabs>
              <w:jc w:val="center"/>
              <w:rPr>
                <w:b/>
                <w:caps/>
              </w:rPr>
            </w:pPr>
          </w:p>
        </w:tc>
      </w:tr>
      <w:tr w:rsidR="00FC1CD3" w14:paraId="00735ADC" w14:textId="77777777" w:rsidTr="00BA627E">
        <w:trPr>
          <w:cantSplit/>
          <w:trHeight w:val="359"/>
        </w:trPr>
        <w:tc>
          <w:tcPr>
            <w:tcW w:w="9654" w:type="dxa"/>
            <w:tcBorders>
              <w:top w:val="nil"/>
              <w:left w:val="nil"/>
              <w:bottom w:val="nil"/>
              <w:right w:val="nil"/>
            </w:tcBorders>
          </w:tcPr>
          <w:p w14:paraId="0BF9926F" w14:textId="77777777" w:rsidR="00FC1CD3" w:rsidRPr="00AE61D9" w:rsidRDefault="00CB165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TSP-123</w:t>
            </w:r>
            <w:r w:rsidRPr="00AE61D9">
              <w:fldChar w:fldCharType="end"/>
            </w:r>
          </w:p>
        </w:tc>
      </w:tr>
      <w:tr w:rsidR="00FC1CD3" w14:paraId="6AF0D10C" w14:textId="77777777">
        <w:trPr>
          <w:cantSplit/>
        </w:trPr>
        <w:tc>
          <w:tcPr>
            <w:tcW w:w="9654" w:type="dxa"/>
            <w:tcBorders>
              <w:top w:val="nil"/>
              <w:left w:val="nil"/>
              <w:bottom w:val="nil"/>
              <w:right w:val="nil"/>
            </w:tcBorders>
          </w:tcPr>
          <w:p w14:paraId="647155AE" w14:textId="77777777" w:rsidR="00FC1CD3" w:rsidRDefault="00F20019">
            <w:pPr>
              <w:jc w:val="center"/>
            </w:pPr>
            <w:r>
              <w:t>Jurbarkas</w:t>
            </w:r>
          </w:p>
        </w:tc>
      </w:tr>
    </w:tbl>
    <w:p w14:paraId="3390A0B0" w14:textId="77777777" w:rsidR="00FC1CD3" w:rsidRDefault="00FC1CD3">
      <w:pPr>
        <w:jc w:val="both"/>
      </w:pPr>
    </w:p>
    <w:p w14:paraId="4E7145FF" w14:textId="1054B3CF" w:rsidR="00C64AC0" w:rsidRPr="0003606D" w:rsidRDefault="00A809D6" w:rsidP="00A809D6">
      <w:pPr>
        <w:ind w:firstLine="720"/>
        <w:jc w:val="both"/>
        <w:rPr>
          <w:szCs w:val="24"/>
        </w:rPr>
      </w:pPr>
      <w:bookmarkStart w:id="1" w:name="_Hlk163632176"/>
      <w:r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sektoriaus subjekto metinės veiklos ataskaitos ir viešojo sektoriaus subjektų grupės metinės veiklos ataskaitos rengimo tvarkos aprašo patvirtinimo“, 4</w:t>
      </w:r>
      <w:r>
        <w:rPr>
          <w:szCs w:val="24"/>
        </w:rPr>
        <w:t xml:space="preserve"> </w:t>
      </w:r>
      <w:r w:rsidR="00FD6CFA">
        <w:rPr>
          <w:szCs w:val="24"/>
        </w:rPr>
        <w:t> </w:t>
      </w:r>
      <w:r w:rsidR="006159F1" w:rsidRPr="001471AC">
        <w:rPr>
          <w:szCs w:val="24"/>
        </w:rPr>
        <w:t>punktu</w:t>
      </w:r>
      <w:r w:rsidR="006159F1">
        <w:rPr>
          <w:szCs w:val="24"/>
        </w:rPr>
        <w:t xml:space="preserve"> </w:t>
      </w:r>
      <w:r w:rsidR="00C64AC0" w:rsidRPr="0003606D">
        <w:rPr>
          <w:szCs w:val="24"/>
        </w:rPr>
        <w:t xml:space="preserve">ir </w:t>
      </w:r>
      <w:r w:rsidR="00C64AC0" w:rsidRPr="008D6AD8">
        <w:rPr>
          <w:szCs w:val="24"/>
        </w:rPr>
        <w:t>atsižvelgdama į Jurbarko r. Viešvilės pagrindinės mokyklos 202</w:t>
      </w:r>
      <w:r w:rsidR="006159F1" w:rsidRPr="008D6AD8">
        <w:rPr>
          <w:szCs w:val="24"/>
        </w:rPr>
        <w:t>4</w:t>
      </w:r>
      <w:r w:rsidR="00C64AC0" w:rsidRPr="008D6AD8">
        <w:rPr>
          <w:szCs w:val="24"/>
        </w:rPr>
        <w:t xml:space="preserve"> m. </w:t>
      </w:r>
      <w:r w:rsidR="006159F1" w:rsidRPr="008D6AD8">
        <w:rPr>
          <w:szCs w:val="24"/>
        </w:rPr>
        <w:t>balandžio</w:t>
      </w:r>
      <w:r w:rsidR="00C64AC0" w:rsidRPr="008D6AD8">
        <w:rPr>
          <w:szCs w:val="24"/>
        </w:rPr>
        <w:t xml:space="preserve"> </w:t>
      </w:r>
      <w:r w:rsidR="008D6AD8" w:rsidRPr="008D6AD8">
        <w:rPr>
          <w:szCs w:val="24"/>
        </w:rPr>
        <w:t>11</w:t>
      </w:r>
      <w:r w:rsidR="00C64AC0" w:rsidRPr="008D6AD8">
        <w:rPr>
          <w:szCs w:val="24"/>
        </w:rPr>
        <w:t xml:space="preserve"> d. raštą Nr. S-</w:t>
      </w:r>
      <w:r w:rsidR="008D6AD8" w:rsidRPr="008D6AD8">
        <w:rPr>
          <w:szCs w:val="24"/>
        </w:rPr>
        <w:t>6</w:t>
      </w:r>
      <w:r w:rsidR="00C64AC0" w:rsidRPr="008D6AD8">
        <w:rPr>
          <w:szCs w:val="24"/>
        </w:rPr>
        <w:t>1 ,,Dėl met</w:t>
      </w:r>
      <w:r w:rsidR="008D6AD8" w:rsidRPr="008D6AD8">
        <w:rPr>
          <w:szCs w:val="24"/>
        </w:rPr>
        <w:t>inių</w:t>
      </w:r>
      <w:r w:rsidR="00C64AC0" w:rsidRPr="008D6AD8">
        <w:rPr>
          <w:szCs w:val="24"/>
        </w:rPr>
        <w:t xml:space="preserve"> ataskait</w:t>
      </w:r>
      <w:r w:rsidR="008D6AD8" w:rsidRPr="008D6AD8">
        <w:rPr>
          <w:szCs w:val="24"/>
        </w:rPr>
        <w:t>ų</w:t>
      </w:r>
      <w:r w:rsidR="00C64AC0" w:rsidRPr="008D6AD8">
        <w:rPr>
          <w:szCs w:val="24"/>
        </w:rPr>
        <w:t>“,</w:t>
      </w:r>
      <w:r w:rsidR="00C64AC0" w:rsidRPr="0003606D">
        <w:rPr>
          <w:szCs w:val="24"/>
        </w:rPr>
        <w:t xml:space="preserve"> Jurbarko rajono savivaldybės taryba</w:t>
      </w:r>
      <w:r w:rsidR="00C64AC0" w:rsidRPr="00A809D6">
        <w:rPr>
          <w:szCs w:val="24"/>
        </w:rPr>
        <w:t xml:space="preserve"> </w:t>
      </w:r>
      <w:r w:rsidR="00C64AC0" w:rsidRPr="00A809D6">
        <w:rPr>
          <w:spacing w:val="80"/>
          <w:szCs w:val="24"/>
        </w:rPr>
        <w:t>nusprendži</w:t>
      </w:r>
      <w:r w:rsidR="00C64AC0" w:rsidRPr="0003606D">
        <w:rPr>
          <w:szCs w:val="24"/>
        </w:rPr>
        <w:t>a:</w:t>
      </w:r>
    </w:p>
    <w:p w14:paraId="6A971B1B" w14:textId="77777777"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8D6AD8" w:rsidRPr="0003606D">
        <w:rPr>
          <w:szCs w:val="24"/>
        </w:rPr>
        <w:t xml:space="preserve">Jurbarko r. </w:t>
      </w:r>
      <w:r w:rsidR="008D6AD8">
        <w:rPr>
          <w:szCs w:val="24"/>
        </w:rPr>
        <w:t>Viešvilės pagrindinės mokyklos 2023 metų metinių ataskaitų rinkinį</w:t>
      </w:r>
      <w:r w:rsidRPr="0009078D">
        <w:rPr>
          <w:szCs w:val="24"/>
        </w:rPr>
        <w:t>:</w:t>
      </w:r>
    </w:p>
    <w:p w14:paraId="41F7C1FC" w14:textId="77777777"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r. </w:t>
      </w:r>
      <w:r>
        <w:rPr>
          <w:szCs w:val="24"/>
        </w:rPr>
        <w:t xml:space="preserve">Viešvilės pagrindinės mokyklos </w:t>
      </w:r>
      <w:r w:rsidRPr="0009078D">
        <w:rPr>
          <w:szCs w:val="24"/>
        </w:rPr>
        <w:t>2023 metų veiklos ataskait</w:t>
      </w:r>
      <w:r>
        <w:rPr>
          <w:szCs w:val="24"/>
        </w:rPr>
        <w:t>ą</w:t>
      </w:r>
      <w:r w:rsidRPr="0009078D">
        <w:rPr>
          <w:szCs w:val="24"/>
        </w:rPr>
        <w:t xml:space="preserve"> (pridedama);</w:t>
      </w:r>
    </w:p>
    <w:p w14:paraId="58D9BEF5"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Pr>
          <w:szCs w:val="24"/>
        </w:rPr>
        <w:t xml:space="preserve">Viešvilės pagrindinės mokyklos </w:t>
      </w:r>
      <w:r w:rsidR="00FE0B13">
        <w:rPr>
          <w:szCs w:val="24"/>
        </w:rPr>
        <w:t xml:space="preserve">2023 metų </w:t>
      </w:r>
      <w:r w:rsidRPr="0009078D">
        <w:rPr>
          <w:szCs w:val="24"/>
        </w:rPr>
        <w:t>finansinių ataskaitų rinkin</w:t>
      </w:r>
      <w:r>
        <w:rPr>
          <w:szCs w:val="24"/>
        </w:rPr>
        <w:t>į</w:t>
      </w:r>
      <w:r w:rsidRPr="0009078D">
        <w:rPr>
          <w:szCs w:val="24"/>
        </w:rPr>
        <w:t xml:space="preserve"> (pridedama);</w:t>
      </w:r>
    </w:p>
    <w:p w14:paraId="347F91C0" w14:textId="77777777"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r. </w:t>
      </w:r>
      <w:r>
        <w:rPr>
          <w:szCs w:val="24"/>
        </w:rPr>
        <w:t xml:space="preserve">Viešvilės pagrindinės mokyklos </w:t>
      </w:r>
      <w:r w:rsidR="00FE0B13">
        <w:rPr>
          <w:szCs w:val="24"/>
        </w:rPr>
        <w:t xml:space="preserve">2023 metų </w:t>
      </w:r>
      <w:r w:rsidRPr="0009078D">
        <w:rPr>
          <w:szCs w:val="24"/>
        </w:rPr>
        <w:t>biudžeto vykdymo ataskaitų rinkin</w:t>
      </w:r>
      <w:r>
        <w:rPr>
          <w:szCs w:val="24"/>
        </w:rPr>
        <w:t>į</w:t>
      </w:r>
      <w:r w:rsidRPr="0009078D">
        <w:rPr>
          <w:szCs w:val="24"/>
        </w:rPr>
        <w:t xml:space="preserve"> (pridedama).</w:t>
      </w:r>
    </w:p>
    <w:p w14:paraId="1D0736F0"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1"/>
    <w:p w14:paraId="38D353E7" w14:textId="77777777" w:rsidR="00FC1CD3" w:rsidRDefault="00FC1CD3">
      <w:pPr>
        <w:jc w:val="both"/>
      </w:pPr>
    </w:p>
    <w:p w14:paraId="1E46A00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438D38D6" w14:textId="77777777">
        <w:trPr>
          <w:trHeight w:val="180"/>
        </w:trPr>
        <w:tc>
          <w:tcPr>
            <w:tcW w:w="4410" w:type="dxa"/>
          </w:tcPr>
          <w:p w14:paraId="167627F4" w14:textId="77777777" w:rsidR="00FC1CD3" w:rsidRDefault="00F4316F">
            <w:r>
              <w:t>Savivaldybės meras</w:t>
            </w:r>
          </w:p>
        </w:tc>
        <w:tc>
          <w:tcPr>
            <w:tcW w:w="4410" w:type="dxa"/>
          </w:tcPr>
          <w:p w14:paraId="4DE77556" w14:textId="77777777" w:rsidR="00FC1CD3" w:rsidRDefault="00FC1CD3">
            <w:pPr>
              <w:jc w:val="right"/>
            </w:pPr>
          </w:p>
        </w:tc>
      </w:tr>
    </w:tbl>
    <w:p w14:paraId="1BCA465B" w14:textId="77777777" w:rsidR="006159F1" w:rsidRDefault="006159F1"/>
    <w:p w14:paraId="39F9D804" w14:textId="77777777" w:rsidR="006159F1" w:rsidRDefault="006159F1"/>
    <w:p w14:paraId="40E0EBD1" w14:textId="77777777" w:rsidR="006159F1" w:rsidRDefault="006159F1"/>
    <w:p w14:paraId="0FC38D04" w14:textId="77777777" w:rsidR="002930A8" w:rsidRDefault="002930A8" w:rsidP="002930A8">
      <w:r>
        <w:t xml:space="preserve">Vizos: </w:t>
      </w:r>
    </w:p>
    <w:p w14:paraId="5C058EFE" w14:textId="77777777" w:rsidR="002930A8" w:rsidRDefault="002930A8" w:rsidP="002930A8">
      <w:r>
        <w:t xml:space="preserve">Administracijos direktorė R. </w:t>
      </w:r>
      <w:proofErr w:type="spellStart"/>
      <w:r>
        <w:t>Vančienė</w:t>
      </w:r>
      <w:proofErr w:type="spellEnd"/>
    </w:p>
    <w:p w14:paraId="5C4B9D7C" w14:textId="77777777" w:rsidR="002930A8" w:rsidRDefault="002930A8" w:rsidP="002930A8">
      <w:r>
        <w:t xml:space="preserve">Teisės ir civilinės metrikacijos skyriaus vedėja O. </w:t>
      </w:r>
      <w:proofErr w:type="spellStart"/>
      <w:r>
        <w:t>Sutkaitienė</w:t>
      </w:r>
      <w:proofErr w:type="spellEnd"/>
      <w:r>
        <w:t xml:space="preserve"> </w:t>
      </w:r>
    </w:p>
    <w:p w14:paraId="5BE57783" w14:textId="77777777" w:rsidR="002930A8" w:rsidRDefault="002930A8" w:rsidP="002930A8">
      <w:r>
        <w:t>Tarybos posėdžių sekretorė D. Dačkauskaitė</w:t>
      </w:r>
    </w:p>
    <w:p w14:paraId="0D26B1C9" w14:textId="77777777" w:rsidR="002930A8" w:rsidRDefault="002930A8" w:rsidP="002930A8">
      <w:r>
        <w:t>Dokumentų ir viešųjų ryšių skyriaus vyr. specialistas A. Gvildys</w:t>
      </w:r>
    </w:p>
    <w:p w14:paraId="207F33A7" w14:textId="77777777" w:rsidR="002930A8" w:rsidRDefault="002930A8" w:rsidP="002930A8">
      <w:r>
        <w:t>Finansų skyriaus vedėja A. Stoškienė</w:t>
      </w:r>
    </w:p>
    <w:p w14:paraId="4AED5A05" w14:textId="77777777" w:rsidR="002930A8" w:rsidRDefault="002930A8" w:rsidP="002930A8">
      <w:r>
        <w:t xml:space="preserve">Švietimo, kultūros ir sporto skyriaus vedėja A. </w:t>
      </w:r>
      <w:proofErr w:type="spellStart"/>
      <w:r>
        <w:t>Baliukynaitė</w:t>
      </w:r>
      <w:proofErr w:type="spellEnd"/>
    </w:p>
    <w:p w14:paraId="0EA34F2E" w14:textId="77777777" w:rsidR="002930A8" w:rsidRDefault="002930A8" w:rsidP="002930A8"/>
    <w:p w14:paraId="2A2157A0" w14:textId="77777777" w:rsidR="00F27C80" w:rsidRDefault="00F27C80"/>
    <w:p w14:paraId="5C2B6CA4" w14:textId="77777777" w:rsidR="00190B66" w:rsidRDefault="00190B66"/>
    <w:p w14:paraId="08F3AF6A" w14:textId="77777777" w:rsidR="00F320CA" w:rsidRDefault="00F320CA" w:rsidP="00F320CA">
      <w:r>
        <w:t>Parengė</w:t>
      </w:r>
    </w:p>
    <w:bookmarkStart w:id="2" w:name="CREATOR_SHOWS"/>
    <w:p w14:paraId="079D3533" w14:textId="77777777" w:rsidR="00B3497C" w:rsidRDefault="00CB165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4"/>
    </w:p>
    <w:bookmarkStart w:id="5" w:name="NOW_DATE1"/>
    <w:p w14:paraId="350EA824" w14:textId="77777777" w:rsidR="002E1F99" w:rsidRDefault="00CB1658"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5"/>
      <w:r w:rsidR="00F7723D">
        <w:t xml:space="preserve"> </w:t>
      </w:r>
    </w:p>
    <w:p w14:paraId="0E5532EA" w14:textId="77777777" w:rsidR="00D93DCC" w:rsidRDefault="00D93DCC" w:rsidP="00107C26">
      <w:pPr>
        <w:pStyle w:val="Antrats"/>
        <w:tabs>
          <w:tab w:val="clear" w:pos="4153"/>
          <w:tab w:val="clear" w:pos="8306"/>
        </w:tabs>
        <w:sectPr w:rsidR="00D93DCC" w:rsidSect="0065146A">
          <w:headerReference w:type="even" r:id="rId7"/>
          <w:headerReference w:type="default" r:id="rId8"/>
          <w:pgSz w:w="11906" w:h="16838" w:code="9"/>
          <w:pgMar w:top="1134" w:right="680" w:bottom="1134" w:left="1701" w:header="1134" w:footer="726" w:gutter="0"/>
          <w:cols w:space="1296"/>
          <w:titlePg/>
          <w:docGrid w:linePitch="360"/>
        </w:sectPr>
      </w:pPr>
    </w:p>
    <w:tbl>
      <w:tblPr>
        <w:tblW w:w="0" w:type="auto"/>
        <w:tblLook w:val="04A0" w:firstRow="1" w:lastRow="0" w:firstColumn="1" w:lastColumn="0" w:noHBand="0" w:noVBand="1"/>
      </w:tblPr>
      <w:tblGrid>
        <w:gridCol w:w="14570"/>
      </w:tblGrid>
      <w:tr w:rsidR="0076196C" w:rsidRPr="0003606D" w14:paraId="09094995" w14:textId="77777777" w:rsidTr="00290330">
        <w:tc>
          <w:tcPr>
            <w:tcW w:w="14786" w:type="dxa"/>
            <w:shd w:val="clear" w:color="auto" w:fill="auto"/>
          </w:tcPr>
          <w:p w14:paraId="758EF992" w14:textId="77777777" w:rsidR="0076196C" w:rsidRPr="0003606D" w:rsidRDefault="0076196C" w:rsidP="00290330">
            <w:pPr>
              <w:pStyle w:val="Pavadinimas"/>
              <w:ind w:firstLine="9923"/>
              <w:jc w:val="left"/>
              <w:rPr>
                <w:b w:val="0"/>
                <w:bCs w:val="0"/>
                <w:lang w:val="lt-LT"/>
              </w:rPr>
            </w:pPr>
            <w:r>
              <w:rPr>
                <w:b w:val="0"/>
                <w:bCs w:val="0"/>
                <w:lang w:val="lt-LT"/>
              </w:rPr>
              <w:lastRenderedPageBreak/>
              <w:t>PATVIRTINTA</w:t>
            </w:r>
          </w:p>
        </w:tc>
      </w:tr>
      <w:tr w:rsidR="0076196C" w:rsidRPr="0003606D" w14:paraId="14A0E1C7" w14:textId="77777777" w:rsidTr="00290330">
        <w:tc>
          <w:tcPr>
            <w:tcW w:w="14786" w:type="dxa"/>
            <w:shd w:val="clear" w:color="auto" w:fill="auto"/>
          </w:tcPr>
          <w:p w14:paraId="44589034" w14:textId="77777777" w:rsidR="0076196C" w:rsidRPr="0003606D" w:rsidRDefault="0076196C" w:rsidP="00290330">
            <w:pPr>
              <w:pStyle w:val="Pavadinimas"/>
              <w:ind w:firstLine="9923"/>
              <w:jc w:val="left"/>
              <w:rPr>
                <w:b w:val="0"/>
                <w:bCs w:val="0"/>
                <w:lang w:val="lt-LT"/>
              </w:rPr>
            </w:pPr>
            <w:r w:rsidRPr="0003606D">
              <w:rPr>
                <w:b w:val="0"/>
                <w:bCs w:val="0"/>
                <w:lang w:val="lt-LT"/>
              </w:rPr>
              <w:t>Jurbarko rajono savivaldybės tarybos</w:t>
            </w:r>
          </w:p>
        </w:tc>
      </w:tr>
      <w:tr w:rsidR="0076196C" w:rsidRPr="0003606D" w14:paraId="1FD11C5D" w14:textId="77777777" w:rsidTr="00290330">
        <w:tc>
          <w:tcPr>
            <w:tcW w:w="14786" w:type="dxa"/>
            <w:shd w:val="clear" w:color="auto" w:fill="auto"/>
          </w:tcPr>
          <w:p w14:paraId="7B023C52" w14:textId="77777777" w:rsidR="0076196C" w:rsidRPr="0003606D" w:rsidRDefault="0076196C" w:rsidP="00290330">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Pr>
                <w:b w:val="0"/>
                <w:bCs w:val="0"/>
                <w:lang w:val="lt-LT"/>
              </w:rPr>
              <w:t>balandžio</w:t>
            </w:r>
            <w:r w:rsidRPr="00037C15">
              <w:rPr>
                <w:b w:val="0"/>
                <w:bCs w:val="0"/>
                <w:lang w:val="lt-LT"/>
              </w:rPr>
              <w:t xml:space="preserve"> </w:t>
            </w:r>
            <w:r>
              <w:rPr>
                <w:b w:val="0"/>
                <w:bCs w:val="0"/>
                <w:lang w:val="lt-LT"/>
              </w:rPr>
              <w:t>25</w:t>
            </w:r>
            <w:r w:rsidRPr="00037C15">
              <w:rPr>
                <w:b w:val="0"/>
                <w:bCs w:val="0"/>
                <w:lang w:val="lt-LT"/>
              </w:rPr>
              <w:t xml:space="preserve"> d. sprendimu Nr. </w:t>
            </w:r>
            <w:r>
              <w:rPr>
                <w:b w:val="0"/>
                <w:bCs w:val="0"/>
                <w:lang w:val="lt-LT"/>
              </w:rPr>
              <w:t>T2-</w:t>
            </w:r>
          </w:p>
        </w:tc>
      </w:tr>
    </w:tbl>
    <w:p w14:paraId="3439D7F4" w14:textId="77777777" w:rsidR="0076196C" w:rsidRPr="00CA31BC" w:rsidRDefault="0076196C" w:rsidP="0076196C">
      <w:pPr>
        <w:pStyle w:val="Antrats"/>
        <w:tabs>
          <w:tab w:val="clear" w:pos="4153"/>
          <w:tab w:val="clear" w:pos="8306"/>
        </w:tabs>
      </w:pPr>
      <w:bookmarkStart w:id="6" w:name="_Hlk163651077"/>
    </w:p>
    <w:tbl>
      <w:tblPr>
        <w:tblW w:w="8505" w:type="dxa"/>
        <w:jc w:val="center"/>
        <w:tblLook w:val="04A0" w:firstRow="1" w:lastRow="0" w:firstColumn="1" w:lastColumn="0" w:noHBand="0" w:noVBand="1"/>
      </w:tblPr>
      <w:tblGrid>
        <w:gridCol w:w="2835"/>
        <w:gridCol w:w="2835"/>
        <w:gridCol w:w="2835"/>
      </w:tblGrid>
      <w:tr w:rsidR="0076196C" w14:paraId="6F21BACB" w14:textId="77777777" w:rsidTr="00290330">
        <w:trPr>
          <w:jc w:val="center"/>
        </w:trPr>
        <w:tc>
          <w:tcPr>
            <w:tcW w:w="8505" w:type="dxa"/>
            <w:gridSpan w:val="3"/>
            <w:tcBorders>
              <w:bottom w:val="single" w:sz="4" w:space="0" w:color="auto"/>
            </w:tcBorders>
            <w:shd w:val="clear" w:color="auto" w:fill="auto"/>
          </w:tcPr>
          <w:p w14:paraId="2A1E8003" w14:textId="77777777" w:rsidR="0076196C" w:rsidRDefault="0076196C" w:rsidP="00290330">
            <w:pPr>
              <w:tabs>
                <w:tab w:val="left" w:pos="14656"/>
              </w:tabs>
              <w:overflowPunct w:val="0"/>
              <w:jc w:val="center"/>
              <w:textAlignment w:val="baseline"/>
              <w:rPr>
                <w:szCs w:val="24"/>
              </w:rPr>
            </w:pPr>
            <w:r>
              <w:rPr>
                <w:b/>
                <w:szCs w:val="24"/>
              </w:rPr>
              <w:t>Jurbarko r. Viešvilės pagrindinė mokykla</w:t>
            </w:r>
          </w:p>
        </w:tc>
      </w:tr>
      <w:tr w:rsidR="0076196C" w14:paraId="58AC1033" w14:textId="77777777" w:rsidTr="00290330">
        <w:trPr>
          <w:jc w:val="center"/>
        </w:trPr>
        <w:tc>
          <w:tcPr>
            <w:tcW w:w="8505" w:type="dxa"/>
            <w:gridSpan w:val="3"/>
            <w:tcBorders>
              <w:top w:val="single" w:sz="4" w:space="0" w:color="auto"/>
            </w:tcBorders>
            <w:shd w:val="clear" w:color="auto" w:fill="auto"/>
          </w:tcPr>
          <w:p w14:paraId="7C07F76D" w14:textId="77777777" w:rsidR="0076196C" w:rsidRDefault="0076196C" w:rsidP="00290330">
            <w:pPr>
              <w:tabs>
                <w:tab w:val="left" w:pos="14656"/>
              </w:tabs>
              <w:overflowPunct w:val="0"/>
              <w:jc w:val="center"/>
              <w:textAlignment w:val="baseline"/>
              <w:rPr>
                <w:sz w:val="20"/>
              </w:rPr>
            </w:pPr>
            <w:r>
              <w:rPr>
                <w:sz w:val="20"/>
              </w:rPr>
              <w:t>(įstaigos pavadinimas)</w:t>
            </w:r>
          </w:p>
        </w:tc>
      </w:tr>
      <w:tr w:rsidR="0076196C" w14:paraId="1517A794" w14:textId="77777777" w:rsidTr="00290330">
        <w:trPr>
          <w:jc w:val="center"/>
        </w:trPr>
        <w:tc>
          <w:tcPr>
            <w:tcW w:w="8505" w:type="dxa"/>
            <w:gridSpan w:val="3"/>
            <w:tcBorders>
              <w:bottom w:val="single" w:sz="4" w:space="0" w:color="auto"/>
            </w:tcBorders>
            <w:shd w:val="clear" w:color="auto" w:fill="auto"/>
          </w:tcPr>
          <w:p w14:paraId="5BF65B41" w14:textId="77777777" w:rsidR="0076196C" w:rsidRDefault="0076196C" w:rsidP="00290330">
            <w:pPr>
              <w:jc w:val="center"/>
              <w:rPr>
                <w:szCs w:val="24"/>
              </w:rPr>
            </w:pPr>
            <w:r>
              <w:rPr>
                <w:b/>
                <w:szCs w:val="24"/>
              </w:rPr>
              <w:t>2023 m. veiklos ataskaita</w:t>
            </w:r>
          </w:p>
        </w:tc>
      </w:tr>
      <w:tr w:rsidR="0076196C" w14:paraId="28887DF0" w14:textId="77777777" w:rsidTr="00290330">
        <w:trPr>
          <w:jc w:val="center"/>
        </w:trPr>
        <w:tc>
          <w:tcPr>
            <w:tcW w:w="2835" w:type="dxa"/>
            <w:shd w:val="clear" w:color="auto" w:fill="auto"/>
          </w:tcPr>
          <w:p w14:paraId="47849FDF" w14:textId="77777777" w:rsidR="0076196C" w:rsidRDefault="0076196C" w:rsidP="00290330">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45F61650" w14:textId="77777777" w:rsidR="0076196C" w:rsidRDefault="0076196C" w:rsidP="00290330">
            <w:pPr>
              <w:tabs>
                <w:tab w:val="left" w:pos="14656"/>
              </w:tabs>
              <w:overflowPunct w:val="0"/>
              <w:jc w:val="center"/>
              <w:textAlignment w:val="baseline"/>
              <w:rPr>
                <w:szCs w:val="24"/>
              </w:rPr>
            </w:pPr>
            <w:r>
              <w:rPr>
                <w:szCs w:val="24"/>
              </w:rPr>
              <w:t>2024-04-</w:t>
            </w:r>
            <w:r w:rsidR="008D6AD8">
              <w:rPr>
                <w:szCs w:val="24"/>
              </w:rPr>
              <w:t>10</w:t>
            </w:r>
            <w:r>
              <w:rPr>
                <w:szCs w:val="24"/>
              </w:rPr>
              <w:t xml:space="preserve"> Nr.</w:t>
            </w:r>
            <w:r w:rsidR="008D6AD8">
              <w:rPr>
                <w:szCs w:val="24"/>
              </w:rPr>
              <w:t xml:space="preserve"> LS-73</w:t>
            </w:r>
          </w:p>
        </w:tc>
        <w:tc>
          <w:tcPr>
            <w:tcW w:w="2835" w:type="dxa"/>
            <w:shd w:val="clear" w:color="auto" w:fill="auto"/>
          </w:tcPr>
          <w:p w14:paraId="0CC2CEE9" w14:textId="77777777" w:rsidR="0076196C" w:rsidRDefault="0076196C" w:rsidP="00290330">
            <w:pPr>
              <w:tabs>
                <w:tab w:val="left" w:pos="14656"/>
              </w:tabs>
              <w:overflowPunct w:val="0"/>
              <w:textAlignment w:val="baseline"/>
              <w:rPr>
                <w:szCs w:val="24"/>
              </w:rPr>
            </w:pPr>
          </w:p>
        </w:tc>
      </w:tr>
      <w:tr w:rsidR="0076196C" w14:paraId="7E21CA57" w14:textId="77777777" w:rsidTr="00290330">
        <w:trPr>
          <w:jc w:val="center"/>
        </w:trPr>
        <w:tc>
          <w:tcPr>
            <w:tcW w:w="2835" w:type="dxa"/>
            <w:shd w:val="clear" w:color="auto" w:fill="auto"/>
          </w:tcPr>
          <w:p w14:paraId="175429FF" w14:textId="77777777" w:rsidR="0076196C" w:rsidRDefault="0076196C" w:rsidP="00290330">
            <w:pPr>
              <w:overflowPunct w:val="0"/>
              <w:jc w:val="center"/>
              <w:textAlignment w:val="baseline"/>
              <w:rPr>
                <w:szCs w:val="24"/>
              </w:rPr>
            </w:pPr>
          </w:p>
        </w:tc>
        <w:tc>
          <w:tcPr>
            <w:tcW w:w="2835" w:type="dxa"/>
            <w:shd w:val="clear" w:color="auto" w:fill="auto"/>
          </w:tcPr>
          <w:p w14:paraId="12DBCBE5" w14:textId="77777777" w:rsidR="0076196C" w:rsidRDefault="0076196C" w:rsidP="00290330">
            <w:pPr>
              <w:tabs>
                <w:tab w:val="left" w:pos="14656"/>
              </w:tabs>
              <w:overflowPunct w:val="0"/>
              <w:jc w:val="center"/>
              <w:textAlignment w:val="baseline"/>
              <w:rPr>
                <w:sz w:val="20"/>
              </w:rPr>
            </w:pPr>
            <w:r>
              <w:rPr>
                <w:sz w:val="20"/>
              </w:rPr>
              <w:t>(data, Nr.)</w:t>
            </w:r>
          </w:p>
        </w:tc>
        <w:tc>
          <w:tcPr>
            <w:tcW w:w="2835" w:type="dxa"/>
            <w:shd w:val="clear" w:color="auto" w:fill="auto"/>
          </w:tcPr>
          <w:p w14:paraId="1529C2C5" w14:textId="77777777" w:rsidR="0076196C" w:rsidRDefault="0076196C" w:rsidP="00290330">
            <w:pPr>
              <w:tabs>
                <w:tab w:val="left" w:pos="14656"/>
              </w:tabs>
              <w:overflowPunct w:val="0"/>
              <w:jc w:val="center"/>
              <w:textAlignment w:val="baseline"/>
              <w:rPr>
                <w:szCs w:val="24"/>
              </w:rPr>
            </w:pPr>
          </w:p>
        </w:tc>
      </w:tr>
      <w:tr w:rsidR="0076196C" w14:paraId="136FD534" w14:textId="77777777" w:rsidTr="00290330">
        <w:trPr>
          <w:jc w:val="center"/>
        </w:trPr>
        <w:tc>
          <w:tcPr>
            <w:tcW w:w="2835" w:type="dxa"/>
            <w:shd w:val="clear" w:color="auto" w:fill="auto"/>
          </w:tcPr>
          <w:p w14:paraId="715C7672" w14:textId="77777777" w:rsidR="0076196C" w:rsidRDefault="0076196C" w:rsidP="00290330">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0338E396" w14:textId="77777777" w:rsidR="0076196C" w:rsidRDefault="0076196C" w:rsidP="00290330">
            <w:pPr>
              <w:tabs>
                <w:tab w:val="left" w:pos="14656"/>
              </w:tabs>
              <w:overflowPunct w:val="0"/>
              <w:jc w:val="center"/>
              <w:textAlignment w:val="baseline"/>
              <w:rPr>
                <w:szCs w:val="24"/>
              </w:rPr>
            </w:pPr>
            <w:r>
              <w:rPr>
                <w:szCs w:val="24"/>
              </w:rPr>
              <w:t>Viešvilė</w:t>
            </w:r>
          </w:p>
        </w:tc>
        <w:tc>
          <w:tcPr>
            <w:tcW w:w="2835" w:type="dxa"/>
            <w:shd w:val="clear" w:color="auto" w:fill="auto"/>
          </w:tcPr>
          <w:p w14:paraId="387FA1D2" w14:textId="77777777" w:rsidR="0076196C" w:rsidRDefault="0076196C" w:rsidP="00290330">
            <w:pPr>
              <w:tabs>
                <w:tab w:val="left" w:pos="14656"/>
              </w:tabs>
              <w:overflowPunct w:val="0"/>
              <w:jc w:val="center"/>
              <w:textAlignment w:val="baseline"/>
              <w:rPr>
                <w:szCs w:val="24"/>
              </w:rPr>
            </w:pPr>
          </w:p>
        </w:tc>
      </w:tr>
      <w:tr w:rsidR="0076196C" w14:paraId="3AE2843A" w14:textId="77777777" w:rsidTr="00290330">
        <w:trPr>
          <w:jc w:val="center"/>
        </w:trPr>
        <w:tc>
          <w:tcPr>
            <w:tcW w:w="8505" w:type="dxa"/>
            <w:gridSpan w:val="3"/>
            <w:shd w:val="clear" w:color="auto" w:fill="auto"/>
          </w:tcPr>
          <w:p w14:paraId="4452E330" w14:textId="77777777" w:rsidR="0076196C" w:rsidRDefault="0076196C" w:rsidP="00290330">
            <w:pPr>
              <w:tabs>
                <w:tab w:val="left" w:pos="14656"/>
              </w:tabs>
              <w:overflowPunct w:val="0"/>
              <w:jc w:val="center"/>
              <w:textAlignment w:val="baseline"/>
              <w:rPr>
                <w:sz w:val="20"/>
              </w:rPr>
            </w:pPr>
            <w:r>
              <w:rPr>
                <w:sz w:val="20"/>
              </w:rPr>
              <w:t>(sudarymo vieta)</w:t>
            </w:r>
          </w:p>
        </w:tc>
      </w:tr>
    </w:tbl>
    <w:p w14:paraId="1EF76C1B" w14:textId="77777777" w:rsidR="0076196C" w:rsidRPr="00CA31BC" w:rsidRDefault="0076196C" w:rsidP="0076196C">
      <w:pPr>
        <w:pStyle w:val="Antrats"/>
        <w:tabs>
          <w:tab w:val="clear" w:pos="4153"/>
          <w:tab w:val="clear" w:pos="8306"/>
        </w:tabs>
      </w:pPr>
    </w:p>
    <w:p w14:paraId="14FB02C8" w14:textId="77777777" w:rsidR="0076196C" w:rsidRPr="00E40AC3" w:rsidRDefault="0076196C" w:rsidP="0076196C">
      <w:pPr>
        <w:suppressAutoHyphens/>
        <w:spacing w:after="120"/>
        <w:jc w:val="center"/>
        <w:textAlignment w:val="baseline"/>
        <w:rPr>
          <w:b/>
          <w:bCs/>
          <w:szCs w:val="24"/>
        </w:rPr>
      </w:pPr>
      <w:r>
        <w:rPr>
          <w:b/>
          <w:bCs/>
          <w:szCs w:val="24"/>
        </w:rPr>
        <w:t>VADOVO PRANEŠIMAS</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7"/>
      </w:tblGrid>
      <w:tr w:rsidR="00C65C53" w:rsidRPr="00CA31BC" w14:paraId="1FD78235" w14:textId="77777777">
        <w:trPr>
          <w:trHeight w:val="470"/>
        </w:trPr>
        <w:tc>
          <w:tcPr>
            <w:tcW w:w="14567" w:type="dxa"/>
            <w:shd w:val="clear" w:color="auto" w:fill="auto"/>
          </w:tcPr>
          <w:p w14:paraId="7CA66441" w14:textId="77777777" w:rsidR="0076196C" w:rsidRDefault="0076196C">
            <w:pPr>
              <w:ind w:left="720"/>
              <w:rPr>
                <w:rFonts w:eastAsia="Calibri"/>
                <w:b/>
                <w:szCs w:val="24"/>
                <w:lang w:eastAsia="en-US"/>
              </w:rPr>
            </w:pPr>
            <w:r>
              <w:rPr>
                <w:rFonts w:eastAsia="Calibri"/>
                <w:szCs w:val="24"/>
                <w:lang w:eastAsia="en-US"/>
              </w:rPr>
              <w:t xml:space="preserve">Įstaigos direktorius – Rasa </w:t>
            </w:r>
            <w:proofErr w:type="spellStart"/>
            <w:r>
              <w:rPr>
                <w:rFonts w:eastAsia="Calibri"/>
                <w:szCs w:val="24"/>
                <w:lang w:eastAsia="en-US"/>
              </w:rPr>
              <w:t>Augustienė</w:t>
            </w:r>
            <w:proofErr w:type="spellEnd"/>
          </w:p>
          <w:p w14:paraId="16611B42" w14:textId="77777777" w:rsidR="0076196C" w:rsidRDefault="0076196C">
            <w:pPr>
              <w:ind w:firstLine="720"/>
              <w:rPr>
                <w:rFonts w:eastAsia="Calibri"/>
                <w:szCs w:val="24"/>
                <w:lang w:eastAsia="en-US"/>
              </w:rPr>
            </w:pPr>
            <w:r>
              <w:rPr>
                <w:rFonts w:eastAsia="Calibri"/>
                <w:szCs w:val="24"/>
                <w:lang w:eastAsia="en-US"/>
              </w:rPr>
              <w:t xml:space="preserve">Tarybos pirmininkė – Eglė </w:t>
            </w:r>
            <w:proofErr w:type="spellStart"/>
            <w:r>
              <w:rPr>
                <w:rFonts w:eastAsia="Calibri"/>
                <w:szCs w:val="24"/>
                <w:lang w:eastAsia="en-US"/>
              </w:rPr>
              <w:t>Večerskienė</w:t>
            </w:r>
            <w:proofErr w:type="spellEnd"/>
          </w:p>
          <w:p w14:paraId="265F8061" w14:textId="77777777" w:rsidR="0076196C" w:rsidRDefault="0076196C">
            <w:pPr>
              <w:ind w:firstLine="720"/>
              <w:rPr>
                <w:rFonts w:eastAsia="Calibri"/>
                <w:szCs w:val="24"/>
                <w:lang w:eastAsia="en-US"/>
              </w:rPr>
            </w:pPr>
            <w:r>
              <w:rPr>
                <w:rFonts w:eastAsia="Calibri"/>
                <w:szCs w:val="24"/>
                <w:lang w:eastAsia="en-US"/>
              </w:rPr>
              <w:t>Pagrindinė įstaigos veiklos rūšis – pagrindinis ugdymas</w:t>
            </w:r>
          </w:p>
          <w:p w14:paraId="38CCD511" w14:textId="77777777" w:rsidR="0076196C" w:rsidRDefault="0076196C">
            <w:pPr>
              <w:ind w:firstLine="720"/>
              <w:rPr>
                <w:szCs w:val="24"/>
                <w:lang w:eastAsia="en-US"/>
              </w:rPr>
            </w:pPr>
            <w:r>
              <w:rPr>
                <w:szCs w:val="24"/>
                <w:lang w:eastAsia="en-US"/>
              </w:rPr>
              <w:t>Kitos įstaigos veiklos rūšys – ikimokyklinio amžiaus vaikų ugdymas, priešmokyklinio amžiaus vaikų ugdymas, pradinis ugdymas.</w:t>
            </w:r>
          </w:p>
          <w:p w14:paraId="2516C020" w14:textId="77777777" w:rsidR="0076196C" w:rsidRDefault="0076196C">
            <w:pPr>
              <w:tabs>
                <w:tab w:val="left" w:pos="992"/>
              </w:tabs>
              <w:ind w:firstLine="709"/>
              <w:jc w:val="both"/>
              <w:rPr>
                <w:iCs/>
                <w:color w:val="000000"/>
                <w:szCs w:val="24"/>
              </w:rPr>
            </w:pPr>
            <w:r>
              <w:rPr>
                <w:iCs/>
                <w:color w:val="000000"/>
                <w:szCs w:val="24"/>
              </w:rPr>
              <w:t>Mokyklos 2022–2023 m. m. veiklos programa buvo orientuota į mokymą(</w:t>
            </w:r>
            <w:proofErr w:type="spellStart"/>
            <w:r>
              <w:rPr>
                <w:iCs/>
                <w:color w:val="000000"/>
                <w:szCs w:val="24"/>
              </w:rPr>
              <w:t>si</w:t>
            </w:r>
            <w:proofErr w:type="spellEnd"/>
            <w:r>
              <w:rPr>
                <w:iCs/>
                <w:color w:val="000000"/>
                <w:szCs w:val="24"/>
              </w:rPr>
              <w:t>) pagal galimybes, panaudojant netradicines aplinkas ir mokymo(</w:t>
            </w:r>
            <w:proofErr w:type="spellStart"/>
            <w:r>
              <w:rPr>
                <w:iCs/>
                <w:color w:val="000000"/>
                <w:szCs w:val="24"/>
              </w:rPr>
              <w:t>si</w:t>
            </w:r>
            <w:proofErr w:type="spellEnd"/>
            <w:r>
              <w:rPr>
                <w:iCs/>
                <w:color w:val="000000"/>
                <w:szCs w:val="24"/>
              </w:rPr>
              <w:t>) procesą grindžiant inovatyvumu ir tyrinėjimu. Buvo siekiama naudoti patrauklius ir alternatyvius mokymo(</w:t>
            </w:r>
            <w:proofErr w:type="spellStart"/>
            <w:r>
              <w:rPr>
                <w:iCs/>
                <w:color w:val="000000"/>
                <w:szCs w:val="24"/>
              </w:rPr>
              <w:t>si</w:t>
            </w:r>
            <w:proofErr w:type="spellEnd"/>
            <w:r>
              <w:rPr>
                <w:iCs/>
                <w:color w:val="000000"/>
                <w:szCs w:val="24"/>
              </w:rPr>
              <w:t>) metodus ir būdus, mokymą(</w:t>
            </w:r>
            <w:proofErr w:type="spellStart"/>
            <w:r>
              <w:rPr>
                <w:iCs/>
                <w:color w:val="000000"/>
                <w:szCs w:val="24"/>
              </w:rPr>
              <w:t>si</w:t>
            </w:r>
            <w:proofErr w:type="spellEnd"/>
            <w:r>
              <w:rPr>
                <w:iCs/>
                <w:color w:val="000000"/>
                <w:szCs w:val="24"/>
              </w:rPr>
              <w:t xml:space="preserve">) siejant su </w:t>
            </w:r>
            <w:proofErr w:type="spellStart"/>
            <w:r>
              <w:rPr>
                <w:iCs/>
                <w:color w:val="000000"/>
                <w:szCs w:val="24"/>
              </w:rPr>
              <w:t>patyrimine</w:t>
            </w:r>
            <w:proofErr w:type="spellEnd"/>
            <w:r>
              <w:rPr>
                <w:iCs/>
                <w:color w:val="000000"/>
                <w:szCs w:val="24"/>
              </w:rPr>
              <w:t xml:space="preserve"> veikla. </w:t>
            </w:r>
            <w:r>
              <w:rPr>
                <w:iCs/>
                <w:szCs w:val="24"/>
              </w:rPr>
              <w:t>Daug dėmesio buvo skirta mokinių pasiekimų ir pažangos pamokoje vertinimo ir įsivertinimo strategijų įvairovei, mokyklos bendruomenės socialinio emocinio intelekto ugdymui. Užtikrinant saugią ir sveiką ugdymo(</w:t>
            </w:r>
            <w:proofErr w:type="spellStart"/>
            <w:r>
              <w:rPr>
                <w:iCs/>
                <w:szCs w:val="24"/>
              </w:rPr>
              <w:t>si</w:t>
            </w:r>
            <w:proofErr w:type="spellEnd"/>
            <w:r>
              <w:rPr>
                <w:iCs/>
                <w:szCs w:val="24"/>
              </w:rPr>
              <w:t xml:space="preserve">) aplinką buvo stiprinama mokinių ir tėvų atsakomybė už elgesį ir jo padarinius. Vienas iš prioritetinių tikslų buvo veikli, bendradarbiaujanti mokyklos bendruomenė. To siekiant aktyvinama mokyklos savivaldos institucijų ir metodinių grupių veikla bei bendruomeniškumo plėtojimas mokykloje, įtraukiant mokinių tėvus (globėjus). </w:t>
            </w:r>
          </w:p>
          <w:p w14:paraId="74D54205" w14:textId="77777777" w:rsidR="0076196C" w:rsidRDefault="0076196C">
            <w:pPr>
              <w:ind w:firstLine="709"/>
              <w:jc w:val="both"/>
              <w:rPr>
                <w:szCs w:val="24"/>
              </w:rPr>
            </w:pPr>
            <w:r>
              <w:rPr>
                <w:szCs w:val="24"/>
              </w:rPr>
              <w:t xml:space="preserve">Organizuojant ugdymo procesą ir įgyvendinant pagrindinius siekius buvo išanalizuoti mokytojų ilgalaikiai dalykų planai, klasių vadovų darbo planai, neformalaus ugdymo programos, pasidalinta mintimis apie tobulintinus dalykus, pateiktos rekomendacijos. Pedagogai buvo skatinami dažniau vesti atviras pamokas, panaudojant įvairius aktyvius ir interaktyvius mokymo metodus. Tokių pamokų skaičius, lyginant su praėjusiais mokslo metais, padidėjo 25 proc. </w:t>
            </w:r>
          </w:p>
          <w:p w14:paraId="3452B513" w14:textId="77777777" w:rsidR="0076196C" w:rsidRDefault="0076196C">
            <w:pPr>
              <w:tabs>
                <w:tab w:val="left" w:pos="992"/>
              </w:tabs>
              <w:ind w:firstLine="709"/>
              <w:jc w:val="both"/>
              <w:rPr>
                <w:szCs w:val="24"/>
              </w:rPr>
            </w:pPr>
            <w:r>
              <w:rPr>
                <w:color w:val="000000"/>
                <w:szCs w:val="24"/>
              </w:rPr>
              <w:t xml:space="preserve">Daug dėmesio buvo skirta ukrainiečių vaikų integracijai, stengtasi užtikrinti kuo sklandesnį vaikų įsiliejimą į ugdymo įstaigos bendruomenę. Pedagogai dalyvavo seminaruose „Ukrainiečių vaikų ugdymas mokyklose". </w:t>
            </w:r>
          </w:p>
          <w:p w14:paraId="63F96C19" w14:textId="77777777" w:rsidR="0076196C" w:rsidRDefault="0076196C">
            <w:pPr>
              <w:ind w:firstLine="709"/>
              <w:jc w:val="both"/>
              <w:rPr>
                <w:szCs w:val="24"/>
              </w:rPr>
            </w:pPr>
            <w:r>
              <w:rPr>
                <w:szCs w:val="24"/>
              </w:rPr>
              <w:t xml:space="preserve">Mokykloje organizuotos dalykinės savaitės, olimpiados, mokiniai pagal galimybes dalyvavo rajoniniuose, regioniniuose, respublikiniuose konkursuose, olimpiadose, varžybose. </w:t>
            </w:r>
          </w:p>
          <w:p w14:paraId="72B4DEE2" w14:textId="77777777" w:rsidR="0076196C" w:rsidRDefault="0076196C">
            <w:pPr>
              <w:ind w:firstLine="709"/>
              <w:jc w:val="both"/>
              <w:rPr>
                <w:color w:val="000000"/>
                <w:szCs w:val="24"/>
              </w:rPr>
            </w:pPr>
            <w:r>
              <w:rPr>
                <w:szCs w:val="24"/>
              </w:rPr>
              <w:t>Buvo stengtasi kurti saugią, modernią mokyklą, didelis dėmesys skirtas bendravimui, puoselėjant senąsias ir kuriant naujas tradicijas, išlaikant ir stiprinant mokyklos narių tarpusavio ryšį, taip pat pilietiškumo, socialinio bendradarbiavimo, visuomeniškumo ugdymui.</w:t>
            </w:r>
          </w:p>
        </w:tc>
      </w:tr>
    </w:tbl>
    <w:p w14:paraId="29AAF9B5" w14:textId="77777777" w:rsidR="0076196C" w:rsidRPr="00CA31BC" w:rsidRDefault="0076196C" w:rsidP="0076196C">
      <w:pPr>
        <w:jc w:val="center"/>
        <w:rPr>
          <w:b/>
          <w:bCs/>
          <w:szCs w:val="24"/>
        </w:rPr>
      </w:pPr>
      <w:r w:rsidRPr="00CA31BC">
        <w:rPr>
          <w:b/>
          <w:bCs/>
          <w:szCs w:val="24"/>
        </w:rPr>
        <w:t>I SKYRIUS</w:t>
      </w:r>
    </w:p>
    <w:p w14:paraId="1F3A4F0D" w14:textId="77777777" w:rsidR="0076196C" w:rsidRPr="00CA31BC" w:rsidRDefault="0076196C" w:rsidP="0076196C">
      <w:pPr>
        <w:spacing w:after="120"/>
        <w:jc w:val="center"/>
        <w:rPr>
          <w:b/>
          <w:bCs/>
          <w:szCs w:val="24"/>
        </w:rPr>
      </w:pPr>
      <w:r>
        <w:rPr>
          <w:b/>
          <w:bCs/>
          <w:szCs w:val="24"/>
        </w:rPr>
        <w:lastRenderedPageBreak/>
        <w:t>ĮSTAIGOS VEIKLOS PLANAVIMAS</w:t>
      </w:r>
    </w:p>
    <w:tbl>
      <w:tblPr>
        <w:tblW w:w="14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3119"/>
        <w:gridCol w:w="8687"/>
      </w:tblGrid>
      <w:tr w:rsidR="0076196C" w:rsidRPr="00CA31BC" w14:paraId="1A059272" w14:textId="77777777" w:rsidTr="006D11B7">
        <w:trPr>
          <w:trHeight w:val="311"/>
        </w:trPr>
        <w:tc>
          <w:tcPr>
            <w:tcW w:w="2835" w:type="dxa"/>
            <w:vMerge w:val="restart"/>
            <w:tcBorders>
              <w:top w:val="single" w:sz="4" w:space="0" w:color="auto"/>
              <w:left w:val="single" w:sz="4" w:space="0" w:color="auto"/>
              <w:right w:val="single" w:sz="4" w:space="0" w:color="auto"/>
            </w:tcBorders>
          </w:tcPr>
          <w:p w14:paraId="1AF76557" w14:textId="77777777" w:rsidR="0076196C" w:rsidRPr="00CA31BC" w:rsidRDefault="0076196C" w:rsidP="0076196C">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119" w:type="dxa"/>
            <w:tcBorders>
              <w:top w:val="single" w:sz="4" w:space="0" w:color="auto"/>
              <w:left w:val="single" w:sz="4" w:space="0" w:color="auto"/>
              <w:bottom w:val="single" w:sz="4" w:space="0" w:color="auto"/>
              <w:right w:val="single" w:sz="4" w:space="0" w:color="auto"/>
            </w:tcBorders>
          </w:tcPr>
          <w:p w14:paraId="1FF77640" w14:textId="77777777" w:rsidR="0076196C" w:rsidRPr="00CA31BC" w:rsidRDefault="0076196C" w:rsidP="00290330">
            <w:pPr>
              <w:jc w:val="both"/>
              <w:rPr>
                <w:b/>
                <w:bCs/>
                <w:szCs w:val="24"/>
                <w:lang w:eastAsia="en-US"/>
              </w:rPr>
            </w:pPr>
            <w:r>
              <w:rPr>
                <w:szCs w:val="24"/>
                <w:lang w:eastAsia="en-US"/>
              </w:rPr>
              <w:t>Įstaigos</w:t>
            </w:r>
            <w:r w:rsidRPr="00CA31BC">
              <w:rPr>
                <w:szCs w:val="24"/>
                <w:lang w:eastAsia="en-US"/>
              </w:rPr>
              <w:t xml:space="preserve"> strateginis planas</w:t>
            </w:r>
          </w:p>
        </w:tc>
        <w:tc>
          <w:tcPr>
            <w:tcW w:w="8686" w:type="dxa"/>
            <w:tcBorders>
              <w:top w:val="single" w:sz="4" w:space="0" w:color="auto"/>
              <w:left w:val="single" w:sz="4" w:space="0" w:color="auto"/>
              <w:bottom w:val="single" w:sz="4" w:space="0" w:color="auto"/>
              <w:right w:val="single" w:sz="4" w:space="0" w:color="auto"/>
            </w:tcBorders>
          </w:tcPr>
          <w:p w14:paraId="73803F34" w14:textId="77777777" w:rsidR="0076196C" w:rsidRPr="00EB4756" w:rsidRDefault="0076196C" w:rsidP="00290330">
            <w:pPr>
              <w:suppressAutoHyphens/>
              <w:spacing w:line="276" w:lineRule="auto"/>
              <w:jc w:val="both"/>
              <w:textAlignment w:val="baseline"/>
              <w:rPr>
                <w:rFonts w:eastAsia="Calibri"/>
                <w:color w:val="808080"/>
                <w:sz w:val="20"/>
                <w:szCs w:val="24"/>
              </w:rPr>
            </w:pPr>
            <w:r w:rsidRPr="00EB4756">
              <w:rPr>
                <w:rFonts w:eastAsia="Calibri"/>
                <w:szCs w:val="22"/>
                <w:lang w:eastAsia="en-US"/>
              </w:rPr>
              <w:t xml:space="preserve">Mokyklos strateginis planas parengtas 2022–2025 m. </w:t>
            </w:r>
            <w:r>
              <w:rPr>
                <w:rFonts w:eastAsia="Calibri"/>
                <w:szCs w:val="22"/>
                <w:lang w:eastAsia="en-US"/>
              </w:rPr>
              <w:t xml:space="preserve">m. </w:t>
            </w:r>
            <w:r w:rsidRPr="00EB4756">
              <w:rPr>
                <w:rFonts w:eastAsia="Calibri"/>
                <w:szCs w:val="22"/>
                <w:lang w:eastAsia="en-US"/>
              </w:rPr>
              <w:t>(patvirtintas 2021 m. gruodžio 17 d. direktoriaus įsakymu Nr. V-111</w:t>
            </w:r>
            <w:r w:rsidRPr="00EB4756">
              <w:rPr>
                <w:lang w:eastAsia="en-US"/>
              </w:rPr>
              <w:t>)</w:t>
            </w:r>
          </w:p>
        </w:tc>
      </w:tr>
      <w:tr w:rsidR="0076196C" w:rsidRPr="00CA31BC" w14:paraId="2FC5498A" w14:textId="77777777" w:rsidTr="006D11B7">
        <w:trPr>
          <w:trHeight w:val="92"/>
        </w:trPr>
        <w:tc>
          <w:tcPr>
            <w:tcW w:w="2835" w:type="dxa"/>
            <w:vMerge/>
            <w:tcBorders>
              <w:left w:val="single" w:sz="4" w:space="0" w:color="auto"/>
              <w:right w:val="single" w:sz="4" w:space="0" w:color="auto"/>
            </w:tcBorders>
          </w:tcPr>
          <w:p w14:paraId="62CFF043"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5E4113CD" w14:textId="77777777" w:rsidR="0076196C" w:rsidRPr="00CA31BC" w:rsidRDefault="0076196C" w:rsidP="00290330">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686" w:type="dxa"/>
            <w:tcBorders>
              <w:top w:val="single" w:sz="4" w:space="0" w:color="auto"/>
              <w:left w:val="single" w:sz="4" w:space="0" w:color="auto"/>
              <w:bottom w:val="single" w:sz="4" w:space="0" w:color="auto"/>
              <w:right w:val="single" w:sz="4" w:space="0" w:color="auto"/>
            </w:tcBorders>
          </w:tcPr>
          <w:p w14:paraId="01A19B09" w14:textId="77777777" w:rsidR="0076196C" w:rsidRPr="00ED1FFD" w:rsidRDefault="0076196C" w:rsidP="00290330">
            <w:pPr>
              <w:jc w:val="both"/>
              <w:rPr>
                <w:rFonts w:eastAsia="Calibri"/>
                <w:szCs w:val="24"/>
                <w:lang w:eastAsia="en-US"/>
              </w:rPr>
            </w:pPr>
            <w:r w:rsidRPr="00ED1FFD">
              <w:rPr>
                <w:rFonts w:eastAsia="Calibri"/>
                <w:szCs w:val="24"/>
                <w:lang w:eastAsia="en-US"/>
              </w:rPr>
              <w:t>Metinis mokyklos veiklos planas 2023–2024 m. m. (patvirtintas mokyklos direktoriaus 202</w:t>
            </w:r>
            <w:r>
              <w:rPr>
                <w:rFonts w:eastAsia="Calibri"/>
                <w:szCs w:val="24"/>
                <w:lang w:eastAsia="en-US"/>
              </w:rPr>
              <w:t>3 m. spalio 4 d. įsakymu Nr. V-</w:t>
            </w:r>
            <w:r w:rsidRPr="00ED1FFD">
              <w:rPr>
                <w:rFonts w:eastAsia="Calibri"/>
                <w:szCs w:val="24"/>
                <w:lang w:eastAsia="en-US"/>
              </w:rPr>
              <w:t>76)</w:t>
            </w:r>
          </w:p>
        </w:tc>
      </w:tr>
      <w:tr w:rsidR="0076196C" w:rsidRPr="00CA31BC" w14:paraId="71F7C367" w14:textId="77777777" w:rsidTr="006D11B7">
        <w:trPr>
          <w:trHeight w:val="994"/>
        </w:trPr>
        <w:tc>
          <w:tcPr>
            <w:tcW w:w="2835" w:type="dxa"/>
            <w:vMerge/>
            <w:tcBorders>
              <w:left w:val="single" w:sz="4" w:space="0" w:color="auto"/>
              <w:right w:val="single" w:sz="4" w:space="0" w:color="auto"/>
            </w:tcBorders>
          </w:tcPr>
          <w:p w14:paraId="3EA2FF7C" w14:textId="77777777" w:rsidR="0076196C" w:rsidRPr="00CA31BC" w:rsidRDefault="0076196C" w:rsidP="00290330">
            <w:pPr>
              <w:rPr>
                <w:szCs w:val="24"/>
                <w:lang w:eastAsia="en-US"/>
              </w:rPr>
            </w:pPr>
          </w:p>
        </w:tc>
        <w:tc>
          <w:tcPr>
            <w:tcW w:w="3119" w:type="dxa"/>
            <w:tcBorders>
              <w:top w:val="single" w:sz="4" w:space="0" w:color="auto"/>
              <w:left w:val="single" w:sz="4" w:space="0" w:color="auto"/>
              <w:right w:val="single" w:sz="4" w:space="0" w:color="auto"/>
            </w:tcBorders>
          </w:tcPr>
          <w:p w14:paraId="0E3020EA" w14:textId="77777777" w:rsidR="0076196C" w:rsidRPr="00CA31BC" w:rsidRDefault="0076196C" w:rsidP="00290330">
            <w:pPr>
              <w:jc w:val="both"/>
              <w:rPr>
                <w:b/>
                <w:bCs/>
                <w:szCs w:val="24"/>
                <w:lang w:eastAsia="en-US"/>
              </w:rPr>
            </w:pPr>
            <w:r w:rsidRPr="00CA31BC">
              <w:rPr>
                <w:szCs w:val="24"/>
                <w:lang w:eastAsia="en-US"/>
              </w:rPr>
              <w:t>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686" w:type="dxa"/>
            <w:tcBorders>
              <w:top w:val="single" w:sz="4" w:space="0" w:color="auto"/>
              <w:left w:val="single" w:sz="4" w:space="0" w:color="auto"/>
              <w:right w:val="single" w:sz="4" w:space="0" w:color="auto"/>
            </w:tcBorders>
          </w:tcPr>
          <w:p w14:paraId="676B592B" w14:textId="77777777" w:rsidR="0076196C" w:rsidRDefault="0076196C" w:rsidP="00290330">
            <w:pPr>
              <w:tabs>
                <w:tab w:val="left" w:pos="461"/>
              </w:tabs>
              <w:jc w:val="both"/>
              <w:rPr>
                <w:b/>
                <w:szCs w:val="24"/>
                <w:lang w:eastAsia="en-US"/>
              </w:rPr>
            </w:pPr>
            <w:r w:rsidRPr="00ED1FFD">
              <w:rPr>
                <w:b/>
                <w:szCs w:val="24"/>
                <w:lang w:eastAsia="en-US"/>
              </w:rPr>
              <w:t>Tiksla</w:t>
            </w:r>
            <w:r>
              <w:rPr>
                <w:b/>
                <w:szCs w:val="24"/>
                <w:lang w:eastAsia="en-US"/>
              </w:rPr>
              <w:t>i:</w:t>
            </w:r>
            <w:r w:rsidRPr="00ED1FFD">
              <w:rPr>
                <w:b/>
                <w:szCs w:val="24"/>
                <w:lang w:eastAsia="en-US"/>
              </w:rPr>
              <w:t xml:space="preserve">  </w:t>
            </w:r>
          </w:p>
          <w:p w14:paraId="1C48AE40" w14:textId="77777777" w:rsidR="0076196C" w:rsidRPr="0071681E" w:rsidRDefault="0076196C" w:rsidP="00290330">
            <w:pPr>
              <w:tabs>
                <w:tab w:val="left" w:pos="461"/>
              </w:tabs>
              <w:jc w:val="both"/>
              <w:rPr>
                <w:bCs/>
                <w:szCs w:val="24"/>
                <w:lang w:eastAsia="en-US"/>
              </w:rPr>
            </w:pPr>
            <w:r w:rsidRPr="0071681E">
              <w:rPr>
                <w:bCs/>
                <w:szCs w:val="24"/>
                <w:lang w:eastAsia="en-US"/>
              </w:rPr>
              <w:t>1.</w:t>
            </w:r>
            <w:r w:rsidR="00B3631C">
              <w:rPr>
                <w:bCs/>
                <w:szCs w:val="24"/>
                <w:lang w:eastAsia="en-US"/>
              </w:rPr>
              <w:t> K</w:t>
            </w:r>
            <w:r w:rsidRPr="0071681E">
              <w:rPr>
                <w:bCs/>
                <w:szCs w:val="24"/>
                <w:lang w:eastAsia="en-US"/>
              </w:rPr>
              <w:t xml:space="preserve">urti veiksmingas sąlygas, skatinančias mokinių pasiekimų </w:t>
            </w:r>
            <w:proofErr w:type="spellStart"/>
            <w:r w:rsidRPr="0071681E">
              <w:rPr>
                <w:bCs/>
                <w:szCs w:val="24"/>
                <w:lang w:eastAsia="en-US"/>
              </w:rPr>
              <w:t>ūgtį</w:t>
            </w:r>
            <w:proofErr w:type="spellEnd"/>
            <w:r w:rsidRPr="0071681E">
              <w:rPr>
                <w:bCs/>
                <w:szCs w:val="24"/>
                <w:lang w:eastAsia="en-US"/>
              </w:rPr>
              <w:t>.</w:t>
            </w:r>
          </w:p>
          <w:p w14:paraId="2B5188BF" w14:textId="77777777" w:rsidR="0076196C" w:rsidRPr="00CA31BC" w:rsidRDefault="0076196C" w:rsidP="00290330">
            <w:pPr>
              <w:tabs>
                <w:tab w:val="left" w:pos="461"/>
              </w:tabs>
              <w:jc w:val="both"/>
              <w:rPr>
                <w:szCs w:val="24"/>
                <w:lang w:eastAsia="en-US"/>
              </w:rPr>
            </w:pPr>
            <w:r>
              <w:rPr>
                <w:bCs/>
                <w:szCs w:val="24"/>
                <w:lang w:eastAsia="en-US"/>
              </w:rPr>
              <w:t>2.</w:t>
            </w:r>
            <w:r w:rsidR="00B3631C">
              <w:rPr>
                <w:bCs/>
                <w:szCs w:val="24"/>
                <w:lang w:eastAsia="en-US"/>
              </w:rPr>
              <w:t> K</w:t>
            </w:r>
            <w:r w:rsidRPr="0019627F">
              <w:rPr>
                <w:bCs/>
                <w:szCs w:val="24"/>
                <w:lang w:eastAsia="en-US"/>
              </w:rPr>
              <w:t>urti modernią, saugią ugdymo(</w:t>
            </w:r>
            <w:proofErr w:type="spellStart"/>
            <w:r w:rsidRPr="0019627F">
              <w:rPr>
                <w:bCs/>
                <w:szCs w:val="24"/>
                <w:lang w:eastAsia="en-US"/>
              </w:rPr>
              <w:t>si</w:t>
            </w:r>
            <w:proofErr w:type="spellEnd"/>
            <w:r w:rsidRPr="0019627F">
              <w:rPr>
                <w:bCs/>
                <w:szCs w:val="24"/>
                <w:lang w:eastAsia="en-US"/>
              </w:rPr>
              <w:t>) aplinką, leidžiančią ugdyti mokinių vertybines nuostatas.</w:t>
            </w:r>
          </w:p>
        </w:tc>
      </w:tr>
      <w:tr w:rsidR="0076196C" w:rsidRPr="00CA31BC" w14:paraId="54AE1FA9" w14:textId="77777777" w:rsidTr="006D11B7">
        <w:trPr>
          <w:trHeight w:val="563"/>
        </w:trPr>
        <w:tc>
          <w:tcPr>
            <w:tcW w:w="2835" w:type="dxa"/>
            <w:vMerge/>
            <w:tcBorders>
              <w:left w:val="single" w:sz="4" w:space="0" w:color="auto"/>
              <w:right w:val="single" w:sz="4" w:space="0" w:color="auto"/>
            </w:tcBorders>
          </w:tcPr>
          <w:p w14:paraId="49103337" w14:textId="77777777" w:rsidR="0076196C" w:rsidRPr="00CA31BC" w:rsidRDefault="0076196C" w:rsidP="00290330">
            <w:pPr>
              <w:rPr>
                <w:szCs w:val="24"/>
                <w:lang w:eastAsia="en-US"/>
              </w:rPr>
            </w:pPr>
          </w:p>
        </w:tc>
        <w:tc>
          <w:tcPr>
            <w:tcW w:w="3119" w:type="dxa"/>
            <w:tcBorders>
              <w:top w:val="single" w:sz="4" w:space="0" w:color="auto"/>
              <w:left w:val="single" w:sz="4" w:space="0" w:color="auto"/>
              <w:right w:val="single" w:sz="4" w:space="0" w:color="auto"/>
            </w:tcBorders>
          </w:tcPr>
          <w:p w14:paraId="0D8994EF" w14:textId="77777777" w:rsidR="0076196C" w:rsidRPr="00CA31BC" w:rsidRDefault="0076196C" w:rsidP="00290330">
            <w:pPr>
              <w:rPr>
                <w:bCs/>
                <w:szCs w:val="24"/>
                <w:lang w:eastAsia="en-US"/>
              </w:rPr>
            </w:pPr>
            <w:r w:rsidRPr="00CA31BC">
              <w:rPr>
                <w:szCs w:val="24"/>
                <w:lang w:eastAsia="en-US"/>
              </w:rPr>
              <w:t>202</w:t>
            </w:r>
            <w:r>
              <w:rPr>
                <w:szCs w:val="24"/>
                <w:lang w:eastAsia="en-US"/>
              </w:rPr>
              <w:t>2</w:t>
            </w:r>
            <w:r w:rsidRPr="00CA31BC">
              <w:rPr>
                <w:szCs w:val="24"/>
                <w:lang w:eastAsia="en-US"/>
              </w:rPr>
              <w:t>–202</w:t>
            </w:r>
            <w:r>
              <w:rPr>
                <w:szCs w:val="24"/>
                <w:lang w:eastAsia="en-US"/>
              </w:rPr>
              <w:t>3</w:t>
            </w:r>
            <w:r w:rsidRPr="00CA31BC">
              <w:rPr>
                <w:szCs w:val="24"/>
                <w:lang w:eastAsia="en-US"/>
              </w:rPr>
              <w:t xml:space="preserve"> mokslo metų (arba 202</w:t>
            </w:r>
            <w:r>
              <w:rPr>
                <w:szCs w:val="24"/>
                <w:lang w:eastAsia="en-US"/>
              </w:rPr>
              <w:t>3</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įgyvendinimo (veiklos tobulinimo) perspektyvos</w:t>
            </w:r>
          </w:p>
        </w:tc>
        <w:tc>
          <w:tcPr>
            <w:tcW w:w="8686" w:type="dxa"/>
            <w:tcBorders>
              <w:top w:val="single" w:sz="4" w:space="0" w:color="auto"/>
              <w:left w:val="single" w:sz="4" w:space="0" w:color="auto"/>
              <w:right w:val="single" w:sz="4" w:space="0" w:color="auto"/>
            </w:tcBorders>
          </w:tcPr>
          <w:p w14:paraId="72234107" w14:textId="77777777" w:rsidR="0076196C" w:rsidRPr="00ED1FFD" w:rsidRDefault="0076196C" w:rsidP="00290330">
            <w:pPr>
              <w:tabs>
                <w:tab w:val="left" w:pos="461"/>
              </w:tabs>
              <w:jc w:val="both"/>
              <w:rPr>
                <w:szCs w:val="24"/>
                <w:lang w:eastAsia="en-US"/>
              </w:rPr>
            </w:pPr>
            <w:r>
              <w:rPr>
                <w:szCs w:val="24"/>
                <w:lang w:eastAsia="en-US"/>
              </w:rPr>
              <w:t>Tikslų įgyvendinimui m</w:t>
            </w:r>
            <w:r w:rsidRPr="00ED1FFD">
              <w:rPr>
                <w:szCs w:val="24"/>
                <w:lang w:eastAsia="en-US"/>
              </w:rPr>
              <w:t>okytoj</w:t>
            </w:r>
            <w:r>
              <w:rPr>
                <w:szCs w:val="24"/>
                <w:lang w:eastAsia="en-US"/>
              </w:rPr>
              <w:t>ai</w:t>
            </w:r>
            <w:r w:rsidRPr="00ED1FFD">
              <w:rPr>
                <w:szCs w:val="24"/>
                <w:lang w:eastAsia="en-US"/>
              </w:rPr>
              <w:t xml:space="preserve"> tobulin</w:t>
            </w:r>
            <w:r>
              <w:rPr>
                <w:szCs w:val="24"/>
                <w:lang w:eastAsia="en-US"/>
              </w:rPr>
              <w:t>o</w:t>
            </w:r>
            <w:r w:rsidRPr="00ED1FFD">
              <w:rPr>
                <w:szCs w:val="24"/>
                <w:lang w:eastAsia="en-US"/>
              </w:rPr>
              <w:t xml:space="preserve"> kvalifikacij</w:t>
            </w:r>
            <w:r>
              <w:rPr>
                <w:szCs w:val="24"/>
                <w:lang w:eastAsia="en-US"/>
              </w:rPr>
              <w:t>ą</w:t>
            </w:r>
            <w:r w:rsidRPr="00ED1FFD">
              <w:rPr>
                <w:szCs w:val="24"/>
                <w:lang w:eastAsia="en-US"/>
              </w:rPr>
              <w:t xml:space="preserve"> pamokos vadybos, aktyviųjų mokymo metodų taikymo, </w:t>
            </w:r>
            <w:r>
              <w:rPr>
                <w:szCs w:val="24"/>
                <w:lang w:eastAsia="en-US"/>
              </w:rPr>
              <w:t xml:space="preserve">integruoto </w:t>
            </w:r>
            <w:r w:rsidRPr="00ED1FFD">
              <w:rPr>
                <w:szCs w:val="24"/>
                <w:lang w:eastAsia="en-US"/>
              </w:rPr>
              <w:t>mokymo(</w:t>
            </w:r>
            <w:proofErr w:type="spellStart"/>
            <w:r w:rsidRPr="00ED1FFD">
              <w:rPr>
                <w:szCs w:val="24"/>
                <w:lang w:eastAsia="en-US"/>
              </w:rPr>
              <w:t>si</w:t>
            </w:r>
            <w:proofErr w:type="spellEnd"/>
            <w:r w:rsidRPr="00ED1FFD">
              <w:rPr>
                <w:szCs w:val="24"/>
                <w:lang w:eastAsia="en-US"/>
              </w:rPr>
              <w:t xml:space="preserve">) </w:t>
            </w:r>
            <w:r>
              <w:rPr>
                <w:szCs w:val="24"/>
                <w:lang w:eastAsia="en-US"/>
              </w:rPr>
              <w:t xml:space="preserve">organizavimo </w:t>
            </w:r>
            <w:r w:rsidRPr="00ED1FFD">
              <w:rPr>
                <w:szCs w:val="24"/>
                <w:lang w:eastAsia="en-US"/>
              </w:rPr>
              <w:t xml:space="preserve">netradicinėse erdvėse, </w:t>
            </w:r>
            <w:proofErr w:type="spellStart"/>
            <w:r w:rsidRPr="00ED1FFD">
              <w:rPr>
                <w:szCs w:val="24"/>
                <w:lang w:eastAsia="en-US"/>
              </w:rPr>
              <w:t>savivaldaus</w:t>
            </w:r>
            <w:proofErr w:type="spellEnd"/>
            <w:r w:rsidRPr="00ED1FFD">
              <w:rPr>
                <w:szCs w:val="24"/>
                <w:lang w:eastAsia="en-US"/>
              </w:rPr>
              <w:t xml:space="preserve"> mokymo skatinimo pamokose temomis.</w:t>
            </w:r>
          </w:p>
          <w:p w14:paraId="4D82B030" w14:textId="77777777" w:rsidR="0076196C" w:rsidRDefault="00B3631C" w:rsidP="00290330">
            <w:pPr>
              <w:tabs>
                <w:tab w:val="left" w:pos="461"/>
              </w:tabs>
              <w:jc w:val="both"/>
              <w:rPr>
                <w:szCs w:val="24"/>
                <w:lang w:eastAsia="en-US"/>
              </w:rPr>
            </w:pPr>
            <w:r>
              <w:rPr>
                <w:szCs w:val="24"/>
                <w:lang w:eastAsia="en-US"/>
              </w:rPr>
              <w:t>Stengiamasi</w:t>
            </w:r>
            <w:r w:rsidR="0076196C">
              <w:rPr>
                <w:szCs w:val="24"/>
                <w:lang w:eastAsia="en-US"/>
              </w:rPr>
              <w:t xml:space="preserve"> m</w:t>
            </w:r>
            <w:r w:rsidR="0076196C" w:rsidRPr="00ED1FFD">
              <w:rPr>
                <w:szCs w:val="24"/>
                <w:lang w:eastAsia="en-US"/>
              </w:rPr>
              <w:t>okytoj</w:t>
            </w:r>
            <w:r w:rsidR="0076196C">
              <w:rPr>
                <w:szCs w:val="24"/>
                <w:lang w:eastAsia="en-US"/>
              </w:rPr>
              <w:t xml:space="preserve">us ir mokinius </w:t>
            </w:r>
            <w:r w:rsidR="0076196C" w:rsidRPr="00ED1FFD">
              <w:rPr>
                <w:szCs w:val="24"/>
                <w:lang w:eastAsia="en-US"/>
              </w:rPr>
              <w:t>aprūpin</w:t>
            </w:r>
            <w:r w:rsidR="0076196C">
              <w:rPr>
                <w:szCs w:val="24"/>
                <w:lang w:eastAsia="en-US"/>
              </w:rPr>
              <w:t>ti</w:t>
            </w:r>
            <w:r w:rsidR="0076196C" w:rsidRPr="00ED1FFD">
              <w:rPr>
                <w:szCs w:val="24"/>
                <w:lang w:eastAsia="en-US"/>
              </w:rPr>
              <w:t xml:space="preserve"> šiuolaikinėmis mokymo priemonėmis</w:t>
            </w:r>
            <w:r w:rsidR="0076196C">
              <w:rPr>
                <w:szCs w:val="24"/>
                <w:lang w:eastAsia="en-US"/>
              </w:rPr>
              <w:t>, tobulinti m</w:t>
            </w:r>
            <w:r w:rsidR="0076196C" w:rsidRPr="00AC76F6">
              <w:rPr>
                <w:szCs w:val="24"/>
                <w:lang w:eastAsia="en-US"/>
              </w:rPr>
              <w:t>okymo(</w:t>
            </w:r>
            <w:proofErr w:type="spellStart"/>
            <w:r w:rsidR="0076196C" w:rsidRPr="00AC76F6">
              <w:rPr>
                <w:szCs w:val="24"/>
                <w:lang w:eastAsia="en-US"/>
              </w:rPr>
              <w:t>si</w:t>
            </w:r>
            <w:proofErr w:type="spellEnd"/>
            <w:r w:rsidR="0076196C" w:rsidRPr="00AC76F6">
              <w:rPr>
                <w:szCs w:val="24"/>
                <w:lang w:eastAsia="en-US"/>
              </w:rPr>
              <w:t>) aplink</w:t>
            </w:r>
            <w:r w:rsidR="0076196C">
              <w:rPr>
                <w:szCs w:val="24"/>
                <w:lang w:eastAsia="en-US"/>
              </w:rPr>
              <w:t>as</w:t>
            </w:r>
            <w:r w:rsidR="0076196C" w:rsidRPr="00AC76F6">
              <w:rPr>
                <w:szCs w:val="24"/>
                <w:lang w:eastAsia="en-US"/>
              </w:rPr>
              <w:t>, skatinanči</w:t>
            </w:r>
            <w:r>
              <w:rPr>
                <w:szCs w:val="24"/>
                <w:lang w:eastAsia="en-US"/>
              </w:rPr>
              <w:t>as</w:t>
            </w:r>
            <w:r w:rsidR="0076196C" w:rsidRPr="00AC76F6">
              <w:rPr>
                <w:szCs w:val="24"/>
                <w:lang w:eastAsia="en-US"/>
              </w:rPr>
              <w:t xml:space="preserve"> mokinių mokymąsi.</w:t>
            </w:r>
          </w:p>
          <w:p w14:paraId="29AE0B03" w14:textId="77777777" w:rsidR="0076196C" w:rsidRPr="00AC76F6" w:rsidRDefault="0076196C" w:rsidP="00290330">
            <w:pPr>
              <w:tabs>
                <w:tab w:val="left" w:pos="461"/>
              </w:tabs>
              <w:jc w:val="both"/>
              <w:rPr>
                <w:szCs w:val="24"/>
                <w:lang w:eastAsia="en-US"/>
              </w:rPr>
            </w:pPr>
            <w:r>
              <w:rPr>
                <w:szCs w:val="24"/>
                <w:lang w:eastAsia="en-US"/>
              </w:rPr>
              <w:t>Daug dėmesio skirta atnaujintų ugdymo programų įgyvendinimui, mokinių asmeninės pažangos stebėjimui, dalyvavimui konkursuose, olimpiadose pagal jų gebėjimus.</w:t>
            </w:r>
          </w:p>
          <w:p w14:paraId="14E9494F" w14:textId="77777777" w:rsidR="0076196C" w:rsidRPr="00CA31BC" w:rsidRDefault="0076196C" w:rsidP="00290330">
            <w:pPr>
              <w:tabs>
                <w:tab w:val="left" w:pos="461"/>
              </w:tabs>
              <w:jc w:val="both"/>
              <w:rPr>
                <w:szCs w:val="24"/>
                <w:lang w:eastAsia="en-US"/>
              </w:rPr>
            </w:pPr>
            <w:r>
              <w:rPr>
                <w:szCs w:val="24"/>
                <w:lang w:eastAsia="en-US"/>
              </w:rPr>
              <w:t>Buvo skatinamas v</w:t>
            </w:r>
            <w:r w:rsidRPr="00AC76F6">
              <w:rPr>
                <w:szCs w:val="24"/>
                <w:lang w:eastAsia="en-US"/>
              </w:rPr>
              <w:t>irtualių aplinkų taikymas pamokose.</w:t>
            </w:r>
            <w:r>
              <w:rPr>
                <w:szCs w:val="24"/>
                <w:lang w:eastAsia="en-US"/>
              </w:rPr>
              <w:t xml:space="preserve"> </w:t>
            </w:r>
          </w:p>
        </w:tc>
      </w:tr>
      <w:tr w:rsidR="0076196C" w:rsidRPr="00CA31BC" w14:paraId="0B1C8D29" w14:textId="77777777" w:rsidTr="006D11B7">
        <w:trPr>
          <w:trHeight w:val="278"/>
        </w:trPr>
        <w:tc>
          <w:tcPr>
            <w:tcW w:w="2835" w:type="dxa"/>
            <w:vMerge w:val="restart"/>
            <w:tcBorders>
              <w:top w:val="single" w:sz="4" w:space="0" w:color="auto"/>
              <w:left w:val="single" w:sz="4" w:space="0" w:color="auto"/>
              <w:right w:val="single" w:sz="4" w:space="0" w:color="auto"/>
            </w:tcBorders>
          </w:tcPr>
          <w:p w14:paraId="37016692" w14:textId="77777777" w:rsidR="0076196C" w:rsidRPr="00CA31BC" w:rsidRDefault="0076196C" w:rsidP="00B3631C">
            <w:pPr>
              <w:rPr>
                <w:b/>
                <w:bCs/>
                <w:szCs w:val="24"/>
                <w:lang w:eastAsia="en-US"/>
              </w:rPr>
            </w:pPr>
            <w:r w:rsidRPr="00CA31BC">
              <w:rPr>
                <w:szCs w:val="24"/>
                <w:lang w:eastAsia="en-US"/>
              </w:rPr>
              <w:t xml:space="preserve">Formalusis ir neformalusis švietimas bei projektinė veikla </w:t>
            </w:r>
          </w:p>
        </w:tc>
        <w:tc>
          <w:tcPr>
            <w:tcW w:w="3119" w:type="dxa"/>
            <w:tcBorders>
              <w:top w:val="single" w:sz="4" w:space="0" w:color="auto"/>
              <w:left w:val="single" w:sz="4" w:space="0" w:color="auto"/>
              <w:bottom w:val="single" w:sz="4" w:space="0" w:color="auto"/>
              <w:right w:val="single" w:sz="4" w:space="0" w:color="auto"/>
            </w:tcBorders>
          </w:tcPr>
          <w:p w14:paraId="4BC8B027" w14:textId="77777777" w:rsidR="0076196C" w:rsidRPr="00CA31BC" w:rsidRDefault="0076196C" w:rsidP="00290330">
            <w:pPr>
              <w:rPr>
                <w:szCs w:val="24"/>
              </w:rPr>
            </w:pPr>
            <w:r w:rsidRPr="00CA31BC">
              <w:rPr>
                <w:szCs w:val="24"/>
              </w:rPr>
              <w:t>202</w:t>
            </w:r>
            <w:r>
              <w:rPr>
                <w:szCs w:val="24"/>
              </w:rPr>
              <w:t>2</w:t>
            </w:r>
            <w:r w:rsidRPr="00CA31BC">
              <w:rPr>
                <w:szCs w:val="24"/>
              </w:rPr>
              <w:t>–202</w:t>
            </w:r>
            <w:r>
              <w:rPr>
                <w:szCs w:val="24"/>
              </w:rPr>
              <w:t>3</w:t>
            </w:r>
            <w:r w:rsidRPr="00CA31BC">
              <w:rPr>
                <w:szCs w:val="24"/>
              </w:rPr>
              <w:t xml:space="preserve"> ir 202</w:t>
            </w:r>
            <w:r>
              <w:rPr>
                <w:szCs w:val="24"/>
              </w:rPr>
              <w:t>3</w:t>
            </w:r>
            <w:r w:rsidRPr="00CA31BC">
              <w:rPr>
                <w:szCs w:val="24"/>
              </w:rPr>
              <w:t>–202</w:t>
            </w:r>
            <w:r>
              <w:rPr>
                <w:szCs w:val="24"/>
              </w:rPr>
              <w:t>4</w:t>
            </w:r>
            <w:r w:rsidRPr="00CA31BC">
              <w:rPr>
                <w:szCs w:val="24"/>
              </w:rPr>
              <w:t xml:space="preserve"> mokslo metų ugdymo planų suderinimas ir patvirtinimas</w:t>
            </w:r>
          </w:p>
        </w:tc>
        <w:tc>
          <w:tcPr>
            <w:tcW w:w="8686" w:type="dxa"/>
            <w:tcBorders>
              <w:top w:val="single" w:sz="4" w:space="0" w:color="auto"/>
              <w:left w:val="single" w:sz="4" w:space="0" w:color="auto"/>
              <w:right w:val="single" w:sz="4" w:space="0" w:color="auto"/>
            </w:tcBorders>
          </w:tcPr>
          <w:p w14:paraId="6D1A9C16" w14:textId="77777777" w:rsidR="00B3631C" w:rsidRDefault="0076196C" w:rsidP="00747FB0">
            <w:pPr>
              <w:jc w:val="both"/>
              <w:textAlignment w:val="baseline"/>
              <w:rPr>
                <w:szCs w:val="24"/>
              </w:rPr>
            </w:pPr>
            <w:r w:rsidRPr="00B45B5B">
              <w:rPr>
                <w:szCs w:val="24"/>
              </w:rPr>
              <w:t>Mokyklos ugdymo planas 202</w:t>
            </w:r>
            <w:r>
              <w:rPr>
                <w:szCs w:val="24"/>
              </w:rPr>
              <w:t>1</w:t>
            </w:r>
            <w:r w:rsidRPr="00B45B5B">
              <w:rPr>
                <w:szCs w:val="24"/>
              </w:rPr>
              <w:t>–202</w:t>
            </w:r>
            <w:r>
              <w:rPr>
                <w:szCs w:val="24"/>
              </w:rPr>
              <w:t>2</w:t>
            </w:r>
            <w:r w:rsidRPr="00B45B5B">
              <w:rPr>
                <w:szCs w:val="24"/>
              </w:rPr>
              <w:t xml:space="preserve"> m. m. ir 202</w:t>
            </w:r>
            <w:r>
              <w:rPr>
                <w:szCs w:val="24"/>
              </w:rPr>
              <w:t>2</w:t>
            </w:r>
            <w:r w:rsidRPr="00B45B5B">
              <w:rPr>
                <w:szCs w:val="24"/>
              </w:rPr>
              <w:t>–202</w:t>
            </w:r>
            <w:r>
              <w:rPr>
                <w:szCs w:val="24"/>
              </w:rPr>
              <w:t>3</w:t>
            </w:r>
            <w:r w:rsidRPr="00B45B5B">
              <w:rPr>
                <w:szCs w:val="24"/>
              </w:rPr>
              <w:t xml:space="preserve"> m. m.</w:t>
            </w:r>
            <w:r>
              <w:rPr>
                <w:szCs w:val="24"/>
              </w:rPr>
              <w:t>, suderintas</w:t>
            </w:r>
            <w:r w:rsidRPr="00B45B5B">
              <w:rPr>
                <w:szCs w:val="24"/>
              </w:rPr>
              <w:t xml:space="preserve"> </w:t>
            </w:r>
            <w:r w:rsidR="00B3631C">
              <w:rPr>
                <w:szCs w:val="24"/>
              </w:rPr>
              <w:t xml:space="preserve">su </w:t>
            </w:r>
            <w:r w:rsidRPr="00B45B5B">
              <w:rPr>
                <w:szCs w:val="24"/>
              </w:rPr>
              <w:t>Jurbarko rajono savivaldybės administracij</w:t>
            </w:r>
            <w:r>
              <w:rPr>
                <w:szCs w:val="24"/>
              </w:rPr>
              <w:t>os direktori</w:t>
            </w:r>
            <w:r w:rsidR="00B3631C">
              <w:rPr>
                <w:szCs w:val="24"/>
              </w:rPr>
              <w:t>umi (</w:t>
            </w:r>
            <w:r w:rsidRPr="00747FB0">
              <w:rPr>
                <w:szCs w:val="24"/>
              </w:rPr>
              <w:t>2021-08-20</w:t>
            </w:r>
            <w:r w:rsidR="00B3631C" w:rsidRPr="00747FB0">
              <w:rPr>
                <w:szCs w:val="24"/>
              </w:rPr>
              <w:t>,</w:t>
            </w:r>
            <w:r w:rsidRPr="00747FB0">
              <w:rPr>
                <w:szCs w:val="24"/>
              </w:rPr>
              <w:t xml:space="preserve"> Nr. O1-985</w:t>
            </w:r>
            <w:r w:rsidR="00B3631C" w:rsidRPr="00747FB0">
              <w:rPr>
                <w:szCs w:val="24"/>
              </w:rPr>
              <w:t>)</w:t>
            </w:r>
            <w:r w:rsidRPr="00747FB0">
              <w:rPr>
                <w:szCs w:val="24"/>
              </w:rPr>
              <w:t>,</w:t>
            </w:r>
            <w:r w:rsidR="00B3631C" w:rsidRPr="00747FB0">
              <w:rPr>
                <w:szCs w:val="24"/>
              </w:rPr>
              <w:t xml:space="preserve"> Mokyklos taryba (</w:t>
            </w:r>
            <w:r w:rsidR="00747FB0" w:rsidRPr="00747FB0">
              <w:rPr>
                <w:szCs w:val="24"/>
              </w:rPr>
              <w:t>2021-06-25</w:t>
            </w:r>
            <w:r w:rsidR="00B3631C" w:rsidRPr="00747FB0">
              <w:rPr>
                <w:szCs w:val="24"/>
              </w:rPr>
              <w:t xml:space="preserve">, protokolo Nr. </w:t>
            </w:r>
            <w:r w:rsidR="00747FB0" w:rsidRPr="00747FB0">
              <w:rPr>
                <w:szCs w:val="24"/>
              </w:rPr>
              <w:t>2</w:t>
            </w:r>
            <w:r w:rsidR="00B3631C" w:rsidRPr="00747FB0">
              <w:rPr>
                <w:szCs w:val="24"/>
              </w:rPr>
              <w:t>) ir patvirtintas</w:t>
            </w:r>
            <w:r w:rsidRPr="00747FB0">
              <w:rPr>
                <w:szCs w:val="24"/>
              </w:rPr>
              <w:t xml:space="preserve"> 2021</w:t>
            </w:r>
            <w:r w:rsidR="00B3631C" w:rsidRPr="00747FB0">
              <w:rPr>
                <w:szCs w:val="24"/>
              </w:rPr>
              <w:t xml:space="preserve"> m. rugpjūčio 23 d.</w:t>
            </w:r>
            <w:r w:rsidRPr="00747FB0">
              <w:rPr>
                <w:szCs w:val="24"/>
              </w:rPr>
              <w:t xml:space="preserve"> mokyklos dir</w:t>
            </w:r>
            <w:r w:rsidR="00B3631C" w:rsidRPr="00747FB0">
              <w:rPr>
                <w:szCs w:val="24"/>
              </w:rPr>
              <w:t xml:space="preserve">ektoriaus </w:t>
            </w:r>
            <w:r w:rsidRPr="00747FB0">
              <w:rPr>
                <w:szCs w:val="24"/>
              </w:rPr>
              <w:t>įsak</w:t>
            </w:r>
            <w:r w:rsidR="00B3631C" w:rsidRPr="00747FB0">
              <w:rPr>
                <w:szCs w:val="24"/>
              </w:rPr>
              <w:t xml:space="preserve">ymu </w:t>
            </w:r>
            <w:r w:rsidRPr="00747FB0">
              <w:rPr>
                <w:szCs w:val="24"/>
              </w:rPr>
              <w:t>Nr.V-33.</w:t>
            </w:r>
            <w:r w:rsidRPr="00B45B5B">
              <w:rPr>
                <w:szCs w:val="24"/>
              </w:rPr>
              <w:t xml:space="preserve"> </w:t>
            </w:r>
          </w:p>
          <w:p w14:paraId="30E2E29E" w14:textId="77777777" w:rsidR="0076196C" w:rsidRPr="00B45B5B" w:rsidRDefault="00B3631C" w:rsidP="00747FB0">
            <w:pPr>
              <w:jc w:val="both"/>
              <w:textAlignment w:val="baseline"/>
              <w:rPr>
                <w:szCs w:val="24"/>
              </w:rPr>
            </w:pPr>
            <w:r>
              <w:rPr>
                <w:szCs w:val="24"/>
              </w:rPr>
              <w:t>M</w:t>
            </w:r>
            <w:r w:rsidR="0076196C">
              <w:rPr>
                <w:szCs w:val="24"/>
              </w:rPr>
              <w:t>okyklos ugdymo planas 2023–2024 ir 2024–2025 m. m., suderintas</w:t>
            </w:r>
            <w:r w:rsidR="0076196C" w:rsidRPr="00B45B5B">
              <w:rPr>
                <w:szCs w:val="24"/>
              </w:rPr>
              <w:t xml:space="preserve"> </w:t>
            </w:r>
            <w:r>
              <w:rPr>
                <w:szCs w:val="24"/>
              </w:rPr>
              <w:t xml:space="preserve">su </w:t>
            </w:r>
            <w:r w:rsidR="0076196C" w:rsidRPr="00B45B5B">
              <w:rPr>
                <w:szCs w:val="24"/>
              </w:rPr>
              <w:t>Jurbarko rajono savivaldybės administracij</w:t>
            </w:r>
            <w:r w:rsidR="0076196C">
              <w:rPr>
                <w:szCs w:val="24"/>
              </w:rPr>
              <w:t>os direktori</w:t>
            </w:r>
            <w:r>
              <w:rPr>
                <w:szCs w:val="24"/>
              </w:rPr>
              <w:t>umi</w:t>
            </w:r>
            <w:r w:rsidR="0076196C">
              <w:rPr>
                <w:szCs w:val="24"/>
              </w:rPr>
              <w:t xml:space="preserve"> </w:t>
            </w:r>
            <w:r>
              <w:rPr>
                <w:szCs w:val="24"/>
              </w:rPr>
              <w:t>(</w:t>
            </w:r>
            <w:r w:rsidR="0076196C">
              <w:rPr>
                <w:szCs w:val="24"/>
              </w:rPr>
              <w:t>2023-08-31</w:t>
            </w:r>
            <w:r>
              <w:rPr>
                <w:szCs w:val="24"/>
              </w:rPr>
              <w:t>,</w:t>
            </w:r>
            <w:r w:rsidR="0076196C" w:rsidRPr="00F367D9">
              <w:rPr>
                <w:szCs w:val="24"/>
              </w:rPr>
              <w:t xml:space="preserve"> Nr. O1-</w:t>
            </w:r>
            <w:r w:rsidR="0076196C">
              <w:rPr>
                <w:szCs w:val="24"/>
              </w:rPr>
              <w:t>2.1-769</w:t>
            </w:r>
            <w:r>
              <w:rPr>
                <w:szCs w:val="24"/>
              </w:rPr>
              <w:t>)</w:t>
            </w:r>
            <w:r w:rsidR="0076196C">
              <w:rPr>
                <w:szCs w:val="24"/>
              </w:rPr>
              <w:t>,</w:t>
            </w:r>
            <w:r w:rsidR="0076196C" w:rsidRPr="00AA40CF">
              <w:rPr>
                <w:szCs w:val="24"/>
              </w:rPr>
              <w:t xml:space="preserve"> </w:t>
            </w:r>
            <w:r w:rsidRPr="00747FB0">
              <w:rPr>
                <w:szCs w:val="24"/>
              </w:rPr>
              <w:t>Mokyklos taryba (</w:t>
            </w:r>
            <w:r w:rsidR="00B0620E" w:rsidRPr="00747FB0">
              <w:rPr>
                <w:szCs w:val="24"/>
              </w:rPr>
              <w:t>2023-08-30</w:t>
            </w:r>
            <w:r w:rsidRPr="00747FB0">
              <w:rPr>
                <w:szCs w:val="24"/>
              </w:rPr>
              <w:t xml:space="preserve">, protokolo Nr. </w:t>
            </w:r>
            <w:r w:rsidR="00B0620E" w:rsidRPr="00747FB0">
              <w:rPr>
                <w:szCs w:val="24"/>
              </w:rPr>
              <w:t>7</w:t>
            </w:r>
            <w:r w:rsidRPr="00747FB0">
              <w:rPr>
                <w:szCs w:val="24"/>
              </w:rPr>
              <w:t xml:space="preserve">) ir </w:t>
            </w:r>
            <w:r w:rsidR="0076196C" w:rsidRPr="00AA40CF">
              <w:rPr>
                <w:szCs w:val="24"/>
              </w:rPr>
              <w:t>patvirtintas mokyklos direktoriaus 2023</w:t>
            </w:r>
            <w:r w:rsidR="00B0620E">
              <w:rPr>
                <w:szCs w:val="24"/>
              </w:rPr>
              <w:t xml:space="preserve"> m. rugpjūčio 6 d.</w:t>
            </w:r>
            <w:r w:rsidR="0076196C" w:rsidRPr="00AA40CF">
              <w:rPr>
                <w:szCs w:val="24"/>
              </w:rPr>
              <w:t xml:space="preserve"> įsak</w:t>
            </w:r>
            <w:r w:rsidR="00B0620E">
              <w:rPr>
                <w:szCs w:val="24"/>
              </w:rPr>
              <w:t>ymu</w:t>
            </w:r>
            <w:r w:rsidR="0076196C" w:rsidRPr="00AA40CF">
              <w:rPr>
                <w:szCs w:val="24"/>
              </w:rPr>
              <w:t xml:space="preserve"> Nr. V-48</w:t>
            </w:r>
            <w:r w:rsidR="00B0620E">
              <w:rPr>
                <w:szCs w:val="24"/>
              </w:rPr>
              <w:t xml:space="preserve">. </w:t>
            </w:r>
          </w:p>
        </w:tc>
      </w:tr>
      <w:tr w:rsidR="0076196C" w:rsidRPr="00CA31BC" w14:paraId="0B982DD0" w14:textId="77777777" w:rsidTr="006D11B7">
        <w:trPr>
          <w:trHeight w:val="277"/>
        </w:trPr>
        <w:tc>
          <w:tcPr>
            <w:tcW w:w="2835" w:type="dxa"/>
            <w:vMerge/>
            <w:tcBorders>
              <w:left w:val="single" w:sz="4" w:space="0" w:color="auto"/>
              <w:right w:val="single" w:sz="4" w:space="0" w:color="auto"/>
            </w:tcBorders>
          </w:tcPr>
          <w:p w14:paraId="6160157D"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3E255412" w14:textId="77777777" w:rsidR="0076196C" w:rsidRPr="00CA31BC" w:rsidRDefault="0076196C" w:rsidP="00290330">
            <w:pPr>
              <w:rPr>
                <w:color w:val="000000"/>
                <w:szCs w:val="24"/>
                <w:lang w:eastAsia="en-US"/>
              </w:rPr>
            </w:pPr>
            <w:r w:rsidRPr="00CA31BC">
              <w:rPr>
                <w:color w:val="000000"/>
                <w:szCs w:val="24"/>
                <w:lang w:eastAsia="en-US"/>
              </w:rPr>
              <w:t>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metų bendrojo ugdymo planų įgyvendinimas, problemos, sėkmės ir pokyčiai (palyginimas su 202</w:t>
            </w:r>
            <w:r>
              <w:rPr>
                <w:color w:val="000000"/>
                <w:szCs w:val="24"/>
                <w:lang w:eastAsia="en-US"/>
              </w:rPr>
              <w:t>1</w:t>
            </w:r>
            <w:r w:rsidRPr="00CA31BC">
              <w:rPr>
                <w:color w:val="000000"/>
                <w:szCs w:val="24"/>
                <w:lang w:eastAsia="en-US"/>
              </w:rPr>
              <w:t>–202</w:t>
            </w:r>
            <w:r>
              <w:rPr>
                <w:color w:val="000000"/>
                <w:szCs w:val="24"/>
                <w:lang w:eastAsia="en-US"/>
              </w:rPr>
              <w:t>2</w:t>
            </w:r>
            <w:r w:rsidRPr="00CA31BC">
              <w:rPr>
                <w:color w:val="000000"/>
                <w:szCs w:val="24"/>
                <w:lang w:eastAsia="en-US"/>
              </w:rPr>
              <w:t xml:space="preserve"> mokslo metais) </w:t>
            </w:r>
          </w:p>
        </w:tc>
        <w:tc>
          <w:tcPr>
            <w:tcW w:w="8686" w:type="dxa"/>
            <w:tcBorders>
              <w:left w:val="single" w:sz="4" w:space="0" w:color="auto"/>
              <w:bottom w:val="single" w:sz="4" w:space="0" w:color="auto"/>
              <w:right w:val="single" w:sz="4" w:space="0" w:color="auto"/>
            </w:tcBorders>
          </w:tcPr>
          <w:p w14:paraId="39171373" w14:textId="77777777" w:rsidR="0076196C" w:rsidRDefault="0076196C" w:rsidP="00290330">
            <w:pPr>
              <w:jc w:val="both"/>
              <w:rPr>
                <w:rFonts w:eastAsia="Calibri"/>
                <w:bCs/>
                <w:szCs w:val="24"/>
                <w:lang w:eastAsia="en-US"/>
              </w:rPr>
            </w:pPr>
            <w:r w:rsidRPr="002C029B">
              <w:rPr>
                <w:rFonts w:eastAsia="Calibri"/>
                <w:bCs/>
                <w:szCs w:val="24"/>
                <w:lang w:eastAsia="en-US"/>
              </w:rPr>
              <w:t xml:space="preserve">Visos privalomosios mokymo valandos yra panaudojamos, </w:t>
            </w:r>
            <w:r>
              <w:rPr>
                <w:rFonts w:eastAsia="Calibri"/>
                <w:bCs/>
                <w:szCs w:val="24"/>
                <w:lang w:eastAsia="en-US"/>
              </w:rPr>
              <w:t>taip pat tikslingai naudojamos</w:t>
            </w:r>
            <w:r w:rsidRPr="002C029B">
              <w:rPr>
                <w:rFonts w:eastAsia="Calibri"/>
                <w:bCs/>
                <w:szCs w:val="24"/>
                <w:lang w:eastAsia="en-US"/>
              </w:rPr>
              <w:t xml:space="preserve"> valandos</w:t>
            </w:r>
            <w:r>
              <w:rPr>
                <w:rFonts w:eastAsia="Calibri"/>
                <w:bCs/>
                <w:szCs w:val="24"/>
                <w:lang w:eastAsia="en-US"/>
              </w:rPr>
              <w:t>, skirtos</w:t>
            </w:r>
            <w:r w:rsidRPr="002C029B">
              <w:rPr>
                <w:rFonts w:eastAsia="Calibri"/>
                <w:bCs/>
                <w:szCs w:val="24"/>
                <w:lang w:eastAsia="en-US"/>
              </w:rPr>
              <w:t xml:space="preserve"> mokinių poreikiams tenkinti, todėl mokiniai galėjo pasirinkti atskirų mokomųjų dalykų individualias konsultaci</w:t>
            </w:r>
            <w:r>
              <w:rPr>
                <w:rFonts w:eastAsia="Calibri"/>
                <w:bCs/>
                <w:szCs w:val="24"/>
                <w:lang w:eastAsia="en-US"/>
              </w:rPr>
              <w:t xml:space="preserve">jas pagal poreikį. </w:t>
            </w:r>
            <w:r w:rsidRPr="002C029B">
              <w:rPr>
                <w:rFonts w:eastAsia="Calibri"/>
                <w:bCs/>
                <w:szCs w:val="24"/>
                <w:lang w:eastAsia="en-US"/>
              </w:rPr>
              <w:t xml:space="preserve">Kūrybiškai vykdoma gamtosauginė veikla. Darbui su specialiųjų ugdymosi poreikių turinčiais mokiniais yra 3 (po </w:t>
            </w:r>
            <w:r>
              <w:rPr>
                <w:rFonts w:eastAsia="Calibri"/>
                <w:bCs/>
                <w:szCs w:val="24"/>
                <w:lang w:eastAsia="en-US"/>
              </w:rPr>
              <w:t xml:space="preserve">0,5 etato) mokytojo padėjėjai. </w:t>
            </w:r>
          </w:p>
          <w:p w14:paraId="4552059C" w14:textId="77777777" w:rsidR="0076196C" w:rsidRPr="002A4C04" w:rsidRDefault="0076196C" w:rsidP="00290330">
            <w:pPr>
              <w:jc w:val="both"/>
              <w:rPr>
                <w:rFonts w:eastAsia="Calibri"/>
                <w:bCs/>
                <w:szCs w:val="24"/>
                <w:lang w:eastAsia="en-US"/>
              </w:rPr>
            </w:pPr>
            <w:r>
              <w:rPr>
                <w:rFonts w:eastAsia="Calibri"/>
                <w:bCs/>
                <w:szCs w:val="24"/>
                <w:lang w:eastAsia="en-US"/>
              </w:rPr>
              <w:t>2021–</w:t>
            </w:r>
            <w:r w:rsidRPr="002A4C04">
              <w:rPr>
                <w:rFonts w:eastAsia="Calibri"/>
                <w:bCs/>
                <w:szCs w:val="24"/>
                <w:lang w:eastAsia="en-US"/>
              </w:rPr>
              <w:t>2022 m. m.: 2</w:t>
            </w:r>
            <w:r w:rsidR="00B0620E">
              <w:rPr>
                <w:rFonts w:eastAsia="Calibri"/>
                <w:bCs/>
                <w:szCs w:val="24"/>
                <w:lang w:eastAsia="en-US"/>
              </w:rPr>
              <w:t>–</w:t>
            </w:r>
            <w:r w:rsidRPr="002A4C04">
              <w:rPr>
                <w:rFonts w:eastAsia="Calibri"/>
                <w:bCs/>
                <w:szCs w:val="24"/>
                <w:lang w:eastAsia="en-US"/>
              </w:rPr>
              <w:t>8</w:t>
            </w:r>
            <w:r>
              <w:rPr>
                <w:rFonts w:eastAsia="Calibri"/>
                <w:bCs/>
                <w:szCs w:val="24"/>
                <w:lang w:eastAsia="en-US"/>
              </w:rPr>
              <w:t xml:space="preserve"> kl. mokinių pažangumas – 88 %, </w:t>
            </w:r>
            <w:r w:rsidRPr="002A4C04">
              <w:rPr>
                <w:rFonts w:eastAsia="Calibri"/>
                <w:bCs/>
                <w:szCs w:val="24"/>
                <w:lang w:eastAsia="en-US"/>
              </w:rPr>
              <w:t>kokybė – 52 %</w:t>
            </w:r>
            <w:r w:rsidR="00B0620E">
              <w:rPr>
                <w:rFonts w:eastAsia="Calibri"/>
                <w:bCs/>
                <w:szCs w:val="24"/>
                <w:lang w:eastAsia="en-US"/>
              </w:rPr>
              <w:t>.</w:t>
            </w:r>
          </w:p>
          <w:p w14:paraId="76ADFB8C" w14:textId="77777777" w:rsidR="0076196C" w:rsidRPr="00F367D9" w:rsidRDefault="0076196C" w:rsidP="00290330">
            <w:pPr>
              <w:jc w:val="both"/>
              <w:rPr>
                <w:rFonts w:eastAsia="Calibri"/>
                <w:bCs/>
                <w:szCs w:val="24"/>
                <w:lang w:eastAsia="en-US"/>
              </w:rPr>
            </w:pPr>
            <w:r>
              <w:rPr>
                <w:rFonts w:eastAsia="Calibri"/>
                <w:bCs/>
                <w:szCs w:val="24"/>
                <w:lang w:eastAsia="en-US"/>
              </w:rPr>
              <w:t>2022–</w:t>
            </w:r>
            <w:r w:rsidRPr="002A4C04">
              <w:rPr>
                <w:rFonts w:eastAsia="Calibri"/>
                <w:bCs/>
                <w:szCs w:val="24"/>
                <w:lang w:eastAsia="en-US"/>
              </w:rPr>
              <w:t>2023 m. m.: 1</w:t>
            </w:r>
            <w:r w:rsidR="00B0620E">
              <w:rPr>
                <w:rFonts w:eastAsia="Calibri"/>
                <w:bCs/>
                <w:szCs w:val="24"/>
                <w:lang w:eastAsia="en-US"/>
              </w:rPr>
              <w:t>–</w:t>
            </w:r>
            <w:r w:rsidRPr="002A4C04">
              <w:rPr>
                <w:rFonts w:eastAsia="Calibri"/>
                <w:bCs/>
                <w:szCs w:val="24"/>
                <w:lang w:eastAsia="en-US"/>
              </w:rPr>
              <w:t>8 k</w:t>
            </w:r>
            <w:r>
              <w:rPr>
                <w:rFonts w:eastAsia="Calibri"/>
                <w:bCs/>
                <w:szCs w:val="24"/>
                <w:lang w:eastAsia="en-US"/>
              </w:rPr>
              <w:t xml:space="preserve">l. mokinių pažangumas – 100 %, </w:t>
            </w:r>
            <w:r w:rsidRPr="002A4C04">
              <w:rPr>
                <w:rFonts w:eastAsia="Calibri"/>
                <w:bCs/>
                <w:szCs w:val="24"/>
                <w:lang w:eastAsia="en-US"/>
              </w:rPr>
              <w:t>kokybė – 42 %</w:t>
            </w:r>
            <w:r w:rsidR="00B0620E">
              <w:rPr>
                <w:rFonts w:eastAsia="Calibri"/>
                <w:bCs/>
                <w:szCs w:val="24"/>
                <w:lang w:eastAsia="en-US"/>
              </w:rPr>
              <w:t>.</w:t>
            </w:r>
          </w:p>
        </w:tc>
      </w:tr>
      <w:tr w:rsidR="0076196C" w:rsidRPr="00CA31BC" w14:paraId="6931766A" w14:textId="77777777" w:rsidTr="006D11B7">
        <w:trPr>
          <w:trHeight w:val="184"/>
        </w:trPr>
        <w:tc>
          <w:tcPr>
            <w:tcW w:w="2835" w:type="dxa"/>
            <w:vMerge/>
            <w:tcBorders>
              <w:left w:val="single" w:sz="4" w:space="0" w:color="auto"/>
              <w:right w:val="single" w:sz="4" w:space="0" w:color="auto"/>
            </w:tcBorders>
          </w:tcPr>
          <w:p w14:paraId="68223317"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30EF1D8" w14:textId="77777777" w:rsidR="0076196C" w:rsidRPr="00CA31BC" w:rsidRDefault="0076196C" w:rsidP="00290330">
            <w:pPr>
              <w:rPr>
                <w:color w:val="000000"/>
                <w:szCs w:val="24"/>
                <w:lang w:eastAsia="en-US"/>
              </w:rPr>
            </w:pPr>
            <w:r w:rsidRPr="00CA31BC">
              <w:rPr>
                <w:color w:val="000000"/>
                <w:szCs w:val="24"/>
                <w:lang w:eastAsia="en-US"/>
              </w:rPr>
              <w:t>202</w:t>
            </w:r>
            <w:r>
              <w:rPr>
                <w:color w:val="000000"/>
                <w:szCs w:val="24"/>
                <w:lang w:eastAsia="en-US"/>
              </w:rPr>
              <w:t>3</w:t>
            </w:r>
            <w:r w:rsidRPr="00CA31BC">
              <w:rPr>
                <w:color w:val="000000"/>
                <w:szCs w:val="24"/>
                <w:lang w:eastAsia="en-US"/>
              </w:rPr>
              <w:t xml:space="preserve"> m. </w:t>
            </w:r>
            <w:r>
              <w:rPr>
                <w:color w:val="000000"/>
                <w:szCs w:val="24"/>
                <w:lang w:eastAsia="en-US"/>
              </w:rPr>
              <w:t>PUP</w:t>
            </w:r>
            <w:r w:rsidRPr="00CA31BC">
              <w:rPr>
                <w:color w:val="000000"/>
                <w:szCs w:val="24"/>
                <w:lang w:eastAsia="en-US"/>
              </w:rPr>
              <w:t xml:space="preserve"> patikrinimo ir brandos egzaminų rezultatai bei palyginimas su savivaldybės ir šalies rezultatais (vidurkiais) </w:t>
            </w:r>
          </w:p>
        </w:tc>
        <w:tc>
          <w:tcPr>
            <w:tcW w:w="8686" w:type="dxa"/>
            <w:tcBorders>
              <w:top w:val="single" w:sz="4" w:space="0" w:color="auto"/>
              <w:left w:val="single" w:sz="4" w:space="0" w:color="auto"/>
              <w:bottom w:val="single" w:sz="4" w:space="0" w:color="auto"/>
              <w:right w:val="single" w:sz="4" w:space="0" w:color="auto"/>
            </w:tcBorders>
          </w:tcPr>
          <w:p w14:paraId="6F60A1F0" w14:textId="77777777" w:rsidR="0076196C" w:rsidRPr="00CA31BC" w:rsidRDefault="0076196C" w:rsidP="00290330">
            <w:pPr>
              <w:jc w:val="both"/>
              <w:rPr>
                <w:szCs w:val="24"/>
                <w:lang w:eastAsia="en-US"/>
              </w:rPr>
            </w:pPr>
            <w:r w:rsidRPr="00993D1B">
              <w:rPr>
                <w:szCs w:val="24"/>
                <w:lang w:eastAsia="en-US"/>
              </w:rPr>
              <w:t xml:space="preserve">Kadangi dešimta klasė nebuvo suformuota, pasiekimų patikrinimas nevyko.  </w:t>
            </w:r>
          </w:p>
        </w:tc>
      </w:tr>
      <w:tr w:rsidR="0076196C" w:rsidRPr="00CA31BC" w14:paraId="5E65695D" w14:textId="77777777" w:rsidTr="006D11B7">
        <w:trPr>
          <w:trHeight w:val="184"/>
        </w:trPr>
        <w:tc>
          <w:tcPr>
            <w:tcW w:w="2835" w:type="dxa"/>
            <w:vMerge/>
            <w:tcBorders>
              <w:left w:val="single" w:sz="4" w:space="0" w:color="auto"/>
              <w:right w:val="single" w:sz="4" w:space="0" w:color="auto"/>
            </w:tcBorders>
          </w:tcPr>
          <w:p w14:paraId="2998A596"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6015469A" w14:textId="77777777" w:rsidR="0076196C" w:rsidRPr="00CA31BC" w:rsidRDefault="0076196C" w:rsidP="00290330">
            <w:pPr>
              <w:rPr>
                <w:color w:val="000000"/>
                <w:szCs w:val="24"/>
                <w:lang w:eastAsia="en-US"/>
              </w:rPr>
            </w:pPr>
            <w:r w:rsidRPr="003443DF">
              <w:rPr>
                <w:szCs w:val="24"/>
                <w:lang w:eastAsia="en-US"/>
              </w:rPr>
              <w:t xml:space="preserve">Įstaigos </w:t>
            </w:r>
            <w:r w:rsidRPr="00CA31BC">
              <w:rPr>
                <w:color w:val="000000"/>
                <w:szCs w:val="24"/>
                <w:lang w:eastAsia="en-US"/>
              </w:rPr>
              <w:t xml:space="preserve">dalyvavimas tyrimuose, projektuose ir programose, gautų įvertinimų analizė bei rezultatų gerinimo darbai  </w:t>
            </w:r>
          </w:p>
        </w:tc>
        <w:tc>
          <w:tcPr>
            <w:tcW w:w="8686" w:type="dxa"/>
            <w:tcBorders>
              <w:top w:val="single" w:sz="4" w:space="0" w:color="auto"/>
              <w:left w:val="single" w:sz="4" w:space="0" w:color="auto"/>
              <w:bottom w:val="single" w:sz="4" w:space="0" w:color="auto"/>
              <w:right w:val="single" w:sz="4" w:space="0" w:color="auto"/>
            </w:tcBorders>
          </w:tcPr>
          <w:p w14:paraId="2B427D5B" w14:textId="77777777" w:rsidR="0076196C" w:rsidRDefault="0076196C" w:rsidP="00290330">
            <w:pPr>
              <w:jc w:val="both"/>
              <w:rPr>
                <w:rFonts w:eastAsia="Calibri"/>
                <w:szCs w:val="22"/>
              </w:rPr>
            </w:pPr>
            <w:r w:rsidRPr="00BF3916">
              <w:rPr>
                <w:rFonts w:eastAsia="Calibri"/>
                <w:szCs w:val="22"/>
              </w:rPr>
              <w:t>2023</w:t>
            </w:r>
            <w:r w:rsidR="00B0620E">
              <w:rPr>
                <w:rFonts w:eastAsia="Calibri"/>
                <w:szCs w:val="22"/>
              </w:rPr>
              <w:t xml:space="preserve"> m. sausio </w:t>
            </w:r>
            <w:r w:rsidRPr="00BF3916">
              <w:rPr>
                <w:rFonts w:eastAsia="Calibri"/>
                <w:szCs w:val="22"/>
              </w:rPr>
              <w:t xml:space="preserve">26 d. </w:t>
            </w:r>
            <w:r w:rsidR="00B0620E">
              <w:rPr>
                <w:rFonts w:eastAsia="Calibri"/>
                <w:szCs w:val="22"/>
              </w:rPr>
              <w:t xml:space="preserve">vyko </w:t>
            </w:r>
            <w:r w:rsidRPr="00BF3916">
              <w:rPr>
                <w:rFonts w:eastAsia="Calibri"/>
                <w:szCs w:val="22"/>
              </w:rPr>
              <w:t xml:space="preserve">„TALIS 2024 bandomasis tyrimas </w:t>
            </w:r>
            <w:r w:rsidR="00B0620E">
              <w:rPr>
                <w:rFonts w:eastAsia="Calibri"/>
                <w:szCs w:val="22"/>
              </w:rPr>
              <w:t>–</w:t>
            </w:r>
            <w:r w:rsidRPr="00BF3916">
              <w:rPr>
                <w:rFonts w:eastAsia="Calibri"/>
                <w:szCs w:val="22"/>
              </w:rPr>
              <w:t xml:space="preserve"> mokytojų, mokančių pagrindinio ugdymo pakopoje (5</w:t>
            </w:r>
            <w:r w:rsidR="00B0620E">
              <w:rPr>
                <w:rFonts w:eastAsia="Calibri"/>
                <w:szCs w:val="22"/>
              </w:rPr>
              <w:t>–</w:t>
            </w:r>
            <w:r w:rsidRPr="00BF3916">
              <w:rPr>
                <w:rFonts w:eastAsia="Calibri"/>
                <w:szCs w:val="22"/>
              </w:rPr>
              <w:t>10 klasėse)“.</w:t>
            </w:r>
          </w:p>
          <w:p w14:paraId="30CFC5C1" w14:textId="77777777" w:rsidR="0076196C" w:rsidRPr="00577ABC" w:rsidRDefault="0076196C" w:rsidP="00290330">
            <w:pPr>
              <w:jc w:val="both"/>
              <w:rPr>
                <w:rFonts w:eastAsia="Calibri"/>
                <w:color w:val="FF0000"/>
                <w:szCs w:val="22"/>
              </w:rPr>
            </w:pPr>
            <w:r>
              <w:rPr>
                <w:rFonts w:eastAsia="Calibri"/>
                <w:szCs w:val="22"/>
              </w:rPr>
              <w:t>2023</w:t>
            </w:r>
            <w:r w:rsidRPr="00F53EF3">
              <w:rPr>
                <w:rFonts w:eastAsia="Calibri"/>
                <w:szCs w:val="22"/>
              </w:rPr>
              <w:t xml:space="preserve"> m. NMPP rezultat</w:t>
            </w:r>
            <w:r w:rsidR="00B0620E">
              <w:rPr>
                <w:rFonts w:eastAsia="Calibri"/>
                <w:szCs w:val="22"/>
              </w:rPr>
              <w:t>ai:</w:t>
            </w:r>
            <w:r>
              <w:rPr>
                <w:rFonts w:eastAsia="Calibri"/>
                <w:szCs w:val="22"/>
              </w:rPr>
              <w:t xml:space="preserve"> 8 klasės mokiniai</w:t>
            </w:r>
            <w:r w:rsidR="00B0620E">
              <w:rPr>
                <w:rFonts w:eastAsia="Calibri"/>
                <w:szCs w:val="22"/>
              </w:rPr>
              <w:t>:</w:t>
            </w:r>
            <w:r>
              <w:rPr>
                <w:rFonts w:eastAsia="Calibri"/>
                <w:szCs w:val="22"/>
              </w:rPr>
              <w:t xml:space="preserve"> matematika – nelaikė (</w:t>
            </w:r>
            <w:r w:rsidRPr="00FB4E5A">
              <w:rPr>
                <w:rFonts w:eastAsia="Calibri"/>
                <w:szCs w:val="22"/>
              </w:rPr>
              <w:t xml:space="preserve">dėl techninių kliūčių), </w:t>
            </w:r>
            <w:r>
              <w:rPr>
                <w:rFonts w:eastAsia="Calibri"/>
                <w:szCs w:val="22"/>
              </w:rPr>
              <w:t>skaitymas – 58,3</w:t>
            </w:r>
            <w:r w:rsidRPr="00F53EF3">
              <w:rPr>
                <w:rFonts w:eastAsia="Calibri"/>
                <w:szCs w:val="22"/>
              </w:rPr>
              <w:t xml:space="preserve"> %</w:t>
            </w:r>
            <w:r w:rsidR="00B0620E">
              <w:rPr>
                <w:rFonts w:eastAsia="Calibri"/>
                <w:szCs w:val="22"/>
              </w:rPr>
              <w:t>;</w:t>
            </w:r>
            <w:r w:rsidR="004D2A79">
              <w:rPr>
                <w:rFonts w:eastAsia="Calibri"/>
                <w:szCs w:val="22"/>
              </w:rPr>
              <w:t xml:space="preserve"> </w:t>
            </w:r>
            <w:r>
              <w:rPr>
                <w:rFonts w:eastAsia="Calibri"/>
                <w:szCs w:val="22"/>
              </w:rPr>
              <w:t>4 klasės mokiniai: matematika – 54,6</w:t>
            </w:r>
            <w:r w:rsidRPr="00F53EF3">
              <w:rPr>
                <w:rFonts w:eastAsia="Calibri"/>
                <w:szCs w:val="22"/>
              </w:rPr>
              <w:t xml:space="preserve"> </w:t>
            </w:r>
            <w:r>
              <w:rPr>
                <w:rFonts w:eastAsia="Calibri"/>
                <w:szCs w:val="22"/>
              </w:rPr>
              <w:t>% , skaitymas – 66,7</w:t>
            </w:r>
            <w:r w:rsidRPr="00F53EF3">
              <w:rPr>
                <w:rFonts w:eastAsia="Calibri"/>
                <w:szCs w:val="22"/>
              </w:rPr>
              <w:t xml:space="preserve"> %</w:t>
            </w:r>
            <w:r>
              <w:rPr>
                <w:rFonts w:eastAsia="Calibri"/>
                <w:szCs w:val="22"/>
              </w:rPr>
              <w:t>.</w:t>
            </w:r>
          </w:p>
          <w:p w14:paraId="2DE251B5" w14:textId="77777777" w:rsidR="0076196C" w:rsidRPr="00697DA2" w:rsidRDefault="0076196C" w:rsidP="00290330">
            <w:pPr>
              <w:jc w:val="both"/>
              <w:rPr>
                <w:rFonts w:eastAsia="Calibri"/>
                <w:szCs w:val="22"/>
              </w:rPr>
            </w:pPr>
            <w:r>
              <w:rPr>
                <w:rFonts w:eastAsia="Calibri"/>
                <w:szCs w:val="22"/>
              </w:rPr>
              <w:t>Dalykų mokytojai su mokiniais ir jų tėvais aptarė rezultatus. Numatė</w:t>
            </w:r>
            <w:r w:rsidR="00B0620E">
              <w:rPr>
                <w:rFonts w:eastAsia="Calibri"/>
                <w:szCs w:val="22"/>
              </w:rPr>
              <w:t>,</w:t>
            </w:r>
            <w:r>
              <w:rPr>
                <w:rFonts w:eastAsia="Calibri"/>
                <w:szCs w:val="22"/>
              </w:rPr>
              <w:t xml:space="preserve"> kokius gebėjimus dar reikia stiprinti, kurias temas pagilinti. </w:t>
            </w:r>
          </w:p>
        </w:tc>
      </w:tr>
      <w:tr w:rsidR="0076196C" w:rsidRPr="00CA31BC" w14:paraId="51A9192F" w14:textId="77777777" w:rsidTr="006D11B7">
        <w:trPr>
          <w:trHeight w:val="184"/>
        </w:trPr>
        <w:tc>
          <w:tcPr>
            <w:tcW w:w="2835" w:type="dxa"/>
            <w:vMerge/>
            <w:tcBorders>
              <w:left w:val="single" w:sz="4" w:space="0" w:color="auto"/>
              <w:right w:val="single" w:sz="4" w:space="0" w:color="auto"/>
            </w:tcBorders>
          </w:tcPr>
          <w:p w14:paraId="7388021A"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43C5A02C" w14:textId="77777777" w:rsidR="0076196C" w:rsidRPr="00CA31BC" w:rsidRDefault="0076196C" w:rsidP="00290330">
            <w:pPr>
              <w:rPr>
                <w:color w:val="000000"/>
                <w:szCs w:val="24"/>
                <w:lang w:eastAsia="en-US"/>
              </w:rPr>
            </w:pPr>
            <w:r w:rsidRPr="00CA31BC">
              <w:rPr>
                <w:color w:val="000000"/>
                <w:szCs w:val="24"/>
                <w:lang w:eastAsia="en-US"/>
              </w:rPr>
              <w:t>Mokinių (ugdytinių)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686" w:type="dxa"/>
            <w:tcBorders>
              <w:top w:val="single" w:sz="4" w:space="0" w:color="auto"/>
              <w:left w:val="single" w:sz="4" w:space="0" w:color="auto"/>
              <w:bottom w:val="single" w:sz="4" w:space="0" w:color="auto"/>
              <w:right w:val="single" w:sz="4" w:space="0" w:color="auto"/>
            </w:tcBorders>
          </w:tcPr>
          <w:p w14:paraId="0F9E9439" w14:textId="77777777" w:rsidR="0076196C" w:rsidRPr="00111801" w:rsidRDefault="0076196C" w:rsidP="00290330">
            <w:pPr>
              <w:pStyle w:val="Paprastasistekstas"/>
              <w:jc w:val="both"/>
              <w:rPr>
                <w:rFonts w:ascii="Times New Roman" w:hAnsi="Times New Roman"/>
                <w:sz w:val="24"/>
                <w:szCs w:val="24"/>
              </w:rPr>
            </w:pPr>
            <w:r>
              <w:rPr>
                <w:rFonts w:ascii="Times New Roman" w:eastAsia="Times New Roman" w:hAnsi="Times New Roman"/>
                <w:sz w:val="24"/>
                <w:szCs w:val="24"/>
                <w:lang w:eastAsia="lt-LT"/>
              </w:rPr>
              <w:t>M</w:t>
            </w:r>
            <w:r w:rsidRPr="00EE3A67">
              <w:rPr>
                <w:rFonts w:ascii="Times New Roman" w:hAnsi="Times New Roman"/>
                <w:sz w:val="24"/>
                <w:szCs w:val="24"/>
              </w:rPr>
              <w:t xml:space="preserve">okykloje vykdoma mokinio individualios pažangos stebėsena </w:t>
            </w:r>
            <w:r>
              <w:rPr>
                <w:rFonts w:ascii="Times New Roman" w:hAnsi="Times New Roman"/>
                <w:sz w:val="24"/>
                <w:szCs w:val="24"/>
              </w:rPr>
              <w:t>v</w:t>
            </w:r>
            <w:r w:rsidRPr="00EE3A67">
              <w:rPr>
                <w:rFonts w:ascii="Times New Roman" w:hAnsi="Times New Roman"/>
                <w:sz w:val="24"/>
                <w:szCs w:val="24"/>
              </w:rPr>
              <w:t xml:space="preserve">adovaujantis mokyklos direktoriaus </w:t>
            </w:r>
            <w:r>
              <w:rPr>
                <w:rFonts w:ascii="Times New Roman" w:eastAsia="Times New Roman" w:hAnsi="Times New Roman"/>
                <w:sz w:val="24"/>
                <w:szCs w:val="24"/>
                <w:lang w:eastAsia="lt-LT"/>
              </w:rPr>
              <w:t>2023 m. spalio 16 d. įsakymu Nr. V-83</w:t>
            </w:r>
            <w:r w:rsidRPr="00EE3A67">
              <w:rPr>
                <w:rFonts w:ascii="Times New Roman" w:eastAsia="Times New Roman" w:hAnsi="Times New Roman"/>
                <w:sz w:val="24"/>
                <w:szCs w:val="24"/>
                <w:lang w:eastAsia="lt-LT"/>
              </w:rPr>
              <w:t xml:space="preserve"> </w:t>
            </w:r>
            <w:r w:rsidRPr="00EE3A67">
              <w:rPr>
                <w:rFonts w:ascii="Times New Roman" w:hAnsi="Times New Roman"/>
                <w:sz w:val="24"/>
                <w:szCs w:val="24"/>
              </w:rPr>
              <w:t>„Dėl mokinių individualios pažangos stebėjimo ir fiksavimo tvarkos aprašo tvirtinimo“</w:t>
            </w:r>
            <w:r w:rsidRPr="00EE3A67">
              <w:rPr>
                <w:rFonts w:ascii="Times New Roman" w:eastAsia="Times New Roman" w:hAnsi="Times New Roman"/>
                <w:sz w:val="24"/>
                <w:szCs w:val="24"/>
                <w:lang w:eastAsia="lt-LT"/>
              </w:rPr>
              <w:t xml:space="preserve"> patvirtintu individualios mokinių pažangos stebėjimo ir fiksavimo tvarkos aprašu</w:t>
            </w:r>
            <w:r>
              <w:rPr>
                <w:rFonts w:ascii="Times New Roman" w:eastAsia="Times New Roman" w:hAnsi="Times New Roman"/>
                <w:sz w:val="24"/>
                <w:szCs w:val="24"/>
                <w:lang w:eastAsia="lt-LT"/>
              </w:rPr>
              <w:t xml:space="preserve"> (jo priedai buvo tobulinami, kad būtų gautas kuo produktyvesnis rezultatas)</w:t>
            </w:r>
            <w:r w:rsidRPr="00111801">
              <w:rPr>
                <w:rFonts w:ascii="Times New Roman" w:hAnsi="Times New Roman"/>
                <w:sz w:val="24"/>
                <w:szCs w:val="24"/>
              </w:rPr>
              <w:t xml:space="preserve">. </w:t>
            </w:r>
          </w:p>
        </w:tc>
      </w:tr>
      <w:tr w:rsidR="0076196C" w:rsidRPr="00CA31BC" w14:paraId="0372465B" w14:textId="77777777" w:rsidTr="006D11B7">
        <w:trPr>
          <w:trHeight w:val="543"/>
        </w:trPr>
        <w:tc>
          <w:tcPr>
            <w:tcW w:w="2835" w:type="dxa"/>
            <w:vMerge/>
            <w:tcBorders>
              <w:left w:val="single" w:sz="4" w:space="0" w:color="auto"/>
              <w:bottom w:val="single" w:sz="4" w:space="0" w:color="auto"/>
              <w:right w:val="single" w:sz="4" w:space="0" w:color="auto"/>
            </w:tcBorders>
          </w:tcPr>
          <w:p w14:paraId="5F380F0B"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04A5F337" w14:textId="77777777" w:rsidR="0076196C" w:rsidRPr="00CA31BC" w:rsidRDefault="0076196C" w:rsidP="00290330">
            <w:pPr>
              <w:rPr>
                <w:szCs w:val="24"/>
                <w:lang w:eastAsia="en-US"/>
              </w:rPr>
            </w:pPr>
            <w:r w:rsidRPr="00CA31BC">
              <w:rPr>
                <w:szCs w:val="24"/>
                <w:lang w:eastAsia="en-US"/>
              </w:rPr>
              <w:t>202</w:t>
            </w:r>
            <w:r>
              <w:rPr>
                <w:szCs w:val="24"/>
                <w:lang w:eastAsia="en-US"/>
              </w:rPr>
              <w:t>3</w:t>
            </w:r>
            <w:r w:rsidRPr="00CA31BC">
              <w:rPr>
                <w:szCs w:val="24"/>
                <w:lang w:eastAsia="en-US"/>
              </w:rPr>
              <w:t xml:space="preserve"> metų neformaliojo švietimo organizavimas</w:t>
            </w:r>
          </w:p>
        </w:tc>
        <w:tc>
          <w:tcPr>
            <w:tcW w:w="8686" w:type="dxa"/>
            <w:tcBorders>
              <w:top w:val="single" w:sz="4" w:space="0" w:color="auto"/>
              <w:left w:val="single" w:sz="4" w:space="0" w:color="auto"/>
              <w:bottom w:val="single" w:sz="4" w:space="0" w:color="auto"/>
              <w:right w:val="single" w:sz="4" w:space="0" w:color="auto"/>
            </w:tcBorders>
          </w:tcPr>
          <w:p w14:paraId="6D702CC4" w14:textId="77777777" w:rsidR="0076196C" w:rsidRPr="00CA31BC" w:rsidRDefault="0076196C" w:rsidP="00290330">
            <w:pPr>
              <w:jc w:val="both"/>
              <w:rPr>
                <w:szCs w:val="24"/>
              </w:rPr>
            </w:pPr>
            <w:r>
              <w:rPr>
                <w:szCs w:val="24"/>
              </w:rPr>
              <w:t>N</w:t>
            </w:r>
            <w:r w:rsidRPr="00637958">
              <w:rPr>
                <w:szCs w:val="24"/>
              </w:rPr>
              <w:t>eformaliajam vaikų švietimui panaudotos visos pagal ugdymo planą skirtos va</w:t>
            </w:r>
            <w:r>
              <w:rPr>
                <w:szCs w:val="24"/>
              </w:rPr>
              <w:t>landos (11 val.). Veikia</w:t>
            </w:r>
            <w:r w:rsidRPr="00637958">
              <w:rPr>
                <w:szCs w:val="24"/>
              </w:rPr>
              <w:t xml:space="preserve"> dvi mokinių organizacijos: skautai ir jaunieji miško bičiuliai. Mokiniai galėjo pasirinkti veiklą pagal pomėgius iš 8 būrelių, veikiančių mokykloje (meninės raiškos, sportinės veiklos, gamtosaugos ir kt.).</w:t>
            </w:r>
            <w:r>
              <w:rPr>
                <w:szCs w:val="24"/>
              </w:rPr>
              <w:t xml:space="preserve"> </w:t>
            </w:r>
            <w:r w:rsidRPr="005D2ECF">
              <w:rPr>
                <w:szCs w:val="24"/>
              </w:rPr>
              <w:t xml:space="preserve">86 </w:t>
            </w:r>
            <w:r w:rsidRPr="005D2ECF">
              <w:rPr>
                <w:szCs w:val="24"/>
                <w:lang w:val="en-US"/>
              </w:rPr>
              <w:t>%</w:t>
            </w:r>
            <w:r w:rsidRPr="005D2ECF">
              <w:rPr>
                <w:szCs w:val="24"/>
              </w:rPr>
              <w:t xml:space="preserve"> mokyklos mokinių lanko būrelius</w:t>
            </w:r>
            <w:r>
              <w:rPr>
                <w:szCs w:val="24"/>
              </w:rPr>
              <w:t>.</w:t>
            </w:r>
          </w:p>
        </w:tc>
      </w:tr>
      <w:tr w:rsidR="0076196C" w:rsidRPr="00CA31BC" w14:paraId="33530F70" w14:textId="77777777" w:rsidTr="006D11B7">
        <w:trPr>
          <w:trHeight w:val="112"/>
        </w:trPr>
        <w:tc>
          <w:tcPr>
            <w:tcW w:w="2835" w:type="dxa"/>
            <w:tcBorders>
              <w:top w:val="single" w:sz="4" w:space="0" w:color="auto"/>
              <w:left w:val="single" w:sz="4" w:space="0" w:color="auto"/>
              <w:bottom w:val="single" w:sz="4" w:space="0" w:color="auto"/>
              <w:right w:val="single" w:sz="4" w:space="0" w:color="auto"/>
            </w:tcBorders>
          </w:tcPr>
          <w:p w14:paraId="5201BAF1" w14:textId="77777777" w:rsidR="0076196C" w:rsidRPr="00CA31BC" w:rsidRDefault="0076196C" w:rsidP="00290330">
            <w:pPr>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806" w:type="dxa"/>
            <w:gridSpan w:val="2"/>
            <w:tcBorders>
              <w:top w:val="single" w:sz="4" w:space="0" w:color="auto"/>
              <w:left w:val="single" w:sz="4" w:space="0" w:color="auto"/>
              <w:bottom w:val="single" w:sz="4" w:space="0" w:color="auto"/>
              <w:right w:val="single" w:sz="4" w:space="0" w:color="auto"/>
            </w:tcBorders>
          </w:tcPr>
          <w:p w14:paraId="276D9DFF" w14:textId="77777777" w:rsidR="0076196C" w:rsidRPr="00CA31BC" w:rsidRDefault="0076196C" w:rsidP="00290330">
            <w:pPr>
              <w:jc w:val="both"/>
              <w:rPr>
                <w:szCs w:val="24"/>
                <w:lang w:eastAsia="en-US"/>
              </w:rPr>
            </w:pPr>
            <w:r w:rsidRPr="00522322">
              <w:t>Prevencinė veikla: organizuojami užsiėmimai, paskaitos-pokalbiai, kuriuose aptariami įvairūs patyčių atvejai. Visi 1–8 klasių mokiniai dalyvavo pilietinėje iniciatyvoje Tarptautinei tolerancijos dienai paminėti „SAVAITĖ BE PATYČIŲ“ veiklose. Mokyklos pedagogai ir kiti darbuotojai yra dalyvavę prevencinės programos LIONS QUEST mokymuose, tad klasių vadovai ir toliau sistemingai įgyvendina programų „Paauglystės kryžkelės“, „Raktas į sėkmę“ modulius, priešmokyklinio ugdymo grupė – „</w:t>
            </w:r>
            <w:proofErr w:type="spellStart"/>
            <w:r w:rsidRPr="00522322">
              <w:t>Zipio</w:t>
            </w:r>
            <w:proofErr w:type="spellEnd"/>
            <w:r w:rsidRPr="00522322">
              <w:t xml:space="preserve"> draugai“.</w:t>
            </w:r>
            <w:r>
              <w:t xml:space="preserve"> Patyčių ir smurto prevencija mokykloje</w:t>
            </w:r>
            <w:r w:rsidRPr="007D2063">
              <w:t xml:space="preserve"> rūpinasi klasių vadovai, pagalbos mokiniui specialista</w:t>
            </w:r>
            <w:r>
              <w:t>i, mokinių tarybos nariai.</w:t>
            </w:r>
            <w:r w:rsidRPr="007D2063">
              <w:t xml:space="preserve"> Mokyklos </w:t>
            </w:r>
            <w:r>
              <w:t>V</w:t>
            </w:r>
            <w:r w:rsidRPr="007D2063">
              <w:t xml:space="preserve">aiko gerovės komisija gavusi informaciją, sistemingai analizuoja patyčių ir smurto problemas. Fizinio smurto atvejų per </w:t>
            </w:r>
            <w:r>
              <w:t xml:space="preserve">praėjusius mokslo metus </w:t>
            </w:r>
            <w:r w:rsidR="004D2A79">
              <w:t>nebuvo</w:t>
            </w:r>
            <w:r w:rsidRPr="007D2063">
              <w:t xml:space="preserve">, tačiau </w:t>
            </w:r>
            <w:r>
              <w:t>dar vis pasitaiko prasivardžiavimo, užgauliojimo atvejų.</w:t>
            </w:r>
          </w:p>
        </w:tc>
      </w:tr>
      <w:tr w:rsidR="0076196C" w:rsidRPr="00CA31BC" w14:paraId="40500FD0" w14:textId="77777777" w:rsidTr="006D11B7">
        <w:trPr>
          <w:trHeight w:val="112"/>
        </w:trPr>
        <w:tc>
          <w:tcPr>
            <w:tcW w:w="2835" w:type="dxa"/>
            <w:tcBorders>
              <w:top w:val="single" w:sz="4" w:space="0" w:color="auto"/>
              <w:left w:val="single" w:sz="4" w:space="0" w:color="auto"/>
              <w:bottom w:val="single" w:sz="4" w:space="0" w:color="auto"/>
              <w:right w:val="single" w:sz="4" w:space="0" w:color="auto"/>
            </w:tcBorders>
          </w:tcPr>
          <w:p w14:paraId="14840053" w14:textId="77777777" w:rsidR="0076196C" w:rsidRPr="00CA31BC" w:rsidRDefault="0076196C" w:rsidP="00290330">
            <w:pPr>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3</w:t>
            </w:r>
            <w:r w:rsidRPr="00CA31BC">
              <w:rPr>
                <w:szCs w:val="24"/>
                <w:lang w:eastAsia="en-US"/>
              </w:rPr>
              <w:t xml:space="preserve"> metais</w:t>
            </w:r>
          </w:p>
        </w:tc>
        <w:tc>
          <w:tcPr>
            <w:tcW w:w="11806" w:type="dxa"/>
            <w:gridSpan w:val="2"/>
            <w:tcBorders>
              <w:top w:val="single" w:sz="4" w:space="0" w:color="auto"/>
              <w:left w:val="single" w:sz="4" w:space="0" w:color="auto"/>
              <w:bottom w:val="single" w:sz="4" w:space="0" w:color="auto"/>
              <w:right w:val="single" w:sz="4" w:space="0" w:color="auto"/>
            </w:tcBorders>
          </w:tcPr>
          <w:p w14:paraId="270D3251" w14:textId="77777777" w:rsidR="0076196C" w:rsidRPr="00BE37BE" w:rsidRDefault="0076196C" w:rsidP="00290330">
            <w:pPr>
              <w:pStyle w:val="Betarp"/>
              <w:jc w:val="both"/>
            </w:pPr>
            <w:r w:rsidRPr="007D2063">
              <w:t>Toliau dalyvaujama Sąžiningumo mokyklų veikloje, organizuojamos su mokiniais diskusijos apie korupciją, jos apraiškas, daromą žalą</w:t>
            </w:r>
            <w:r>
              <w:t>.</w:t>
            </w:r>
            <w:r w:rsidRPr="007D2063">
              <w:t xml:space="preserve"> Siekiama, kad </w:t>
            </w:r>
            <w:r>
              <w:t>mokykloje mokiniai mokytųsi sąžiningai atlikti užduotis, nenusirašinėtų. Mokyklos direktoriaus 2022 m. kovo 21</w:t>
            </w:r>
            <w:r w:rsidRPr="00AF6FB7">
              <w:t xml:space="preserve"> d. </w:t>
            </w:r>
            <w:r>
              <w:t xml:space="preserve">įsakymu Nr. V-31 buvo atnaujinta ir patvirtinta korupcijos prevencijos programa ir priemonių planas 2022–2025 metams. </w:t>
            </w:r>
          </w:p>
        </w:tc>
      </w:tr>
      <w:tr w:rsidR="0076196C" w:rsidRPr="00CA31BC" w14:paraId="1C76F50E" w14:textId="77777777" w:rsidTr="006D11B7">
        <w:trPr>
          <w:trHeight w:val="421"/>
        </w:trPr>
        <w:tc>
          <w:tcPr>
            <w:tcW w:w="2835" w:type="dxa"/>
            <w:tcBorders>
              <w:top w:val="single" w:sz="4" w:space="0" w:color="auto"/>
              <w:left w:val="single" w:sz="4" w:space="0" w:color="auto"/>
              <w:bottom w:val="single" w:sz="4" w:space="0" w:color="auto"/>
              <w:right w:val="single" w:sz="4" w:space="0" w:color="auto"/>
            </w:tcBorders>
          </w:tcPr>
          <w:p w14:paraId="5A7B75DA" w14:textId="77777777" w:rsidR="0076196C" w:rsidRPr="00CA31BC" w:rsidRDefault="0076196C" w:rsidP="00290330">
            <w:pPr>
              <w:rPr>
                <w:szCs w:val="24"/>
                <w:lang w:eastAsia="en-US"/>
              </w:rPr>
            </w:pPr>
            <w:r>
              <w:rPr>
                <w:szCs w:val="24"/>
                <w:lang w:eastAsia="en-US"/>
              </w:rPr>
              <w:lastRenderedPageBreak/>
              <w:t>Įstaigos</w:t>
            </w:r>
            <w:r w:rsidRPr="00CA31BC">
              <w:rPr>
                <w:szCs w:val="24"/>
                <w:lang w:eastAsia="en-US"/>
              </w:rPr>
              <w:t xml:space="preserve"> veiklos  vertinimas</w:t>
            </w:r>
          </w:p>
        </w:tc>
        <w:tc>
          <w:tcPr>
            <w:tcW w:w="3119" w:type="dxa"/>
            <w:tcBorders>
              <w:top w:val="single" w:sz="4" w:space="0" w:color="auto"/>
              <w:left w:val="single" w:sz="4" w:space="0" w:color="auto"/>
              <w:right w:val="single" w:sz="4" w:space="0" w:color="auto"/>
            </w:tcBorders>
          </w:tcPr>
          <w:p w14:paraId="4D651D7D" w14:textId="77777777" w:rsidR="0076196C" w:rsidRPr="00CA31BC" w:rsidRDefault="0076196C" w:rsidP="00290330">
            <w:pPr>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686" w:type="dxa"/>
            <w:tcBorders>
              <w:top w:val="single" w:sz="4" w:space="0" w:color="auto"/>
              <w:left w:val="single" w:sz="4" w:space="0" w:color="auto"/>
              <w:right w:val="single" w:sz="4" w:space="0" w:color="auto"/>
            </w:tcBorders>
          </w:tcPr>
          <w:p w14:paraId="3B291077" w14:textId="77777777" w:rsidR="0076196C" w:rsidRDefault="0076196C" w:rsidP="00290330">
            <w:pPr>
              <w:jc w:val="both"/>
            </w:pPr>
            <w:r>
              <w:t>Mokyklos veiklos pakartotinis rizikos išorinis vertinimas buvo vykdomas 2023 m. lapkričio 6</w:t>
            </w:r>
            <w:r w:rsidR="00AA2084">
              <w:t>–</w:t>
            </w:r>
            <w:r>
              <w:t>7 d.  Vertintojai konstatavo veiklos kokybės rizikos vertinimo rodiklius:</w:t>
            </w:r>
          </w:p>
          <w:p w14:paraId="316966B8" w14:textId="77777777" w:rsidR="0076196C" w:rsidRDefault="0076196C" w:rsidP="00290330">
            <w:pPr>
              <w:jc w:val="both"/>
            </w:pPr>
            <w:r>
              <w:t>1.1. Asmenybės tapsmas, (2 lygis); 1.2. Mokinio pasiekimai ir pažanga, (2 lygis); 2.1. Orientavimasis į mokinio asmenybės tapsmą, (2 lygis); 2.2 Orientavimasis į mokinio poreikius, (2 lygis); 2.3. Mokyklos bendruomenės susitarimai dėl kiekvieno mokinio ugdymosi sėkmės, (2 lygis); 3.1. Ugdymosi planavimas, (2 lygis); 3.2. Mokymosi lūkesčiai ir mokinių skatinimas – (2 lygis); 3.3. Ugdymo(</w:t>
            </w:r>
            <w:proofErr w:type="spellStart"/>
            <w:r>
              <w:t>si</w:t>
            </w:r>
            <w:proofErr w:type="spellEnd"/>
            <w:r>
              <w:t xml:space="preserve">) organizavimas, (2 lygis); </w:t>
            </w:r>
          </w:p>
          <w:p w14:paraId="3396713E" w14:textId="77777777" w:rsidR="0076196C" w:rsidRDefault="0076196C" w:rsidP="00290330">
            <w:pPr>
              <w:jc w:val="both"/>
            </w:pPr>
            <w:r>
              <w:t>3.4. Mokymasis, (2 lygis); 3.5. (Įsi)vertinimas ugdymui – (2 lygis).</w:t>
            </w:r>
          </w:p>
          <w:p w14:paraId="2D832D8B" w14:textId="77777777" w:rsidR="0076196C" w:rsidRPr="006B190D" w:rsidRDefault="0076196C" w:rsidP="00290330">
            <w:pPr>
              <w:jc w:val="both"/>
            </w:pPr>
            <w:r w:rsidRPr="00C80E8F">
              <w:rPr>
                <w:b/>
              </w:rPr>
              <w:t xml:space="preserve">Rekomendacijos: </w:t>
            </w:r>
            <w:r>
              <w:t xml:space="preserve">Priimti tvarius, kokybišką ugdymą, </w:t>
            </w:r>
            <w:proofErr w:type="spellStart"/>
            <w:r>
              <w:t>įtrauktį</w:t>
            </w:r>
            <w:proofErr w:type="spellEnd"/>
            <w:r>
              <w:t xml:space="preserve"> užtikrinančius sprendimus mokyklos perspektyvos atžvilgiu, atsižvelgiant į kiekvieno mokinio individualius gebėjimus ir poreikius sukuriant lygias galimybes kiekvienam, už protingą, valstybei ir savivaldybei pakeliamą kainą. Mokinių ugdymo(</w:t>
            </w:r>
            <w:proofErr w:type="spellStart"/>
            <w:r>
              <w:t>si</w:t>
            </w:r>
            <w:proofErr w:type="spellEnd"/>
            <w:r>
              <w:t>) rezultatai gerėja tada, kai jie ugdomi pagal individualius poreikius. Juos reikia atpažinti, parinkti tinkamas priemones jiems tenkinti ir stebėti kiekvieno mokinio pažangą. Ypač svarbu atpažinti nepalankios socialinės, ekonominės ir kultūrinės aplinkos lemiamus poreikius, nes jų tenkinimas mažina atskirtį, kuri neigiamai veikia bendrus mokinių pasiekimus.</w:t>
            </w:r>
          </w:p>
        </w:tc>
      </w:tr>
    </w:tbl>
    <w:p w14:paraId="1AA3DF79" w14:textId="77777777" w:rsidR="006D11B7" w:rsidRPr="006D11B7" w:rsidRDefault="006D11B7">
      <w:pPr>
        <w:rPr>
          <w:sz w:val="16"/>
          <w:szCs w:val="16"/>
        </w:rPr>
      </w:pPr>
    </w:p>
    <w:tbl>
      <w:tblPr>
        <w:tblW w:w="14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3119"/>
        <w:gridCol w:w="1446"/>
        <w:gridCol w:w="7240"/>
        <w:gridCol w:w="236"/>
      </w:tblGrid>
      <w:tr w:rsidR="0076196C" w:rsidRPr="00CA31BC" w14:paraId="5106804C" w14:textId="77777777" w:rsidTr="006D11B7">
        <w:trPr>
          <w:trHeight w:val="1134"/>
        </w:trPr>
        <w:tc>
          <w:tcPr>
            <w:tcW w:w="2835" w:type="dxa"/>
            <w:vMerge w:val="restart"/>
            <w:tcBorders>
              <w:top w:val="single" w:sz="4" w:space="0" w:color="auto"/>
              <w:left w:val="single" w:sz="4" w:space="0" w:color="auto"/>
              <w:right w:val="single" w:sz="4" w:space="0" w:color="auto"/>
            </w:tcBorders>
          </w:tcPr>
          <w:p w14:paraId="1BC0E014" w14:textId="77777777" w:rsidR="0076196C" w:rsidRPr="00CA31BC" w:rsidRDefault="0076196C" w:rsidP="006D11B7">
            <w:pPr>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problemos ir</w:t>
            </w:r>
            <w:r w:rsidR="006D11B7">
              <w:rPr>
                <w:color w:val="000000"/>
                <w:szCs w:val="24"/>
                <w:lang w:eastAsia="en-US"/>
              </w:rPr>
              <w:t xml:space="preserve"> </w:t>
            </w:r>
            <w:r w:rsidRPr="00CA31BC">
              <w:rPr>
                <w:color w:val="000000"/>
                <w:szCs w:val="24"/>
                <w:lang w:eastAsia="en-US"/>
              </w:rPr>
              <w:t>jų sprendimas</w:t>
            </w:r>
          </w:p>
        </w:tc>
        <w:tc>
          <w:tcPr>
            <w:tcW w:w="3119" w:type="dxa"/>
            <w:tcBorders>
              <w:top w:val="single" w:sz="4" w:space="0" w:color="auto"/>
              <w:left w:val="single" w:sz="4" w:space="0" w:color="auto"/>
              <w:bottom w:val="single" w:sz="4" w:space="0" w:color="auto"/>
              <w:right w:val="single" w:sz="4" w:space="0" w:color="auto"/>
            </w:tcBorders>
          </w:tcPr>
          <w:p w14:paraId="51611ECE" w14:textId="77777777" w:rsidR="0076196C" w:rsidRPr="00CA31BC" w:rsidRDefault="0076196C" w:rsidP="00290330">
            <w:pPr>
              <w:rPr>
                <w:szCs w:val="24"/>
                <w:lang w:eastAsia="en-US"/>
              </w:rPr>
            </w:pPr>
            <w:r w:rsidRPr="00CA31BC">
              <w:rPr>
                <w:szCs w:val="24"/>
                <w:lang w:eastAsia="en-US"/>
              </w:rPr>
              <w:t>202</w:t>
            </w:r>
            <w:r>
              <w:rPr>
                <w:szCs w:val="24"/>
                <w:lang w:eastAsia="en-US"/>
              </w:rPr>
              <w:t>2</w:t>
            </w:r>
            <w:r w:rsidRPr="00CA31BC">
              <w:rPr>
                <w:szCs w:val="24"/>
                <w:lang w:eastAsia="en-US"/>
              </w:rPr>
              <w:t xml:space="preserve"> m. </w:t>
            </w:r>
            <w:r>
              <w:rPr>
                <w:szCs w:val="24"/>
                <w:lang w:eastAsia="en-US"/>
              </w:rPr>
              <w:t>mokyklos</w:t>
            </w:r>
            <w:r w:rsidRPr="00CA31BC">
              <w:rPr>
                <w:szCs w:val="24"/>
                <w:lang w:eastAsia="en-US"/>
              </w:rPr>
              <w:t xml:space="preserve"> veiklos ataskaitoje n</w:t>
            </w:r>
            <w:r>
              <w:rPr>
                <w:szCs w:val="24"/>
                <w:lang w:eastAsia="en-US"/>
              </w:rPr>
              <w:t>urodytų problemų (iš) sprendimas</w:t>
            </w:r>
          </w:p>
        </w:tc>
        <w:tc>
          <w:tcPr>
            <w:tcW w:w="8686" w:type="dxa"/>
            <w:gridSpan w:val="2"/>
            <w:tcBorders>
              <w:top w:val="single" w:sz="4" w:space="0" w:color="auto"/>
              <w:left w:val="single" w:sz="4" w:space="0" w:color="auto"/>
              <w:right w:val="single" w:sz="4" w:space="0" w:color="auto"/>
            </w:tcBorders>
          </w:tcPr>
          <w:p w14:paraId="15E79FE0" w14:textId="77777777" w:rsidR="0076196C" w:rsidRPr="00906D72" w:rsidRDefault="0076196C" w:rsidP="00290330">
            <w:pPr>
              <w:jc w:val="both"/>
              <w:rPr>
                <w:bCs/>
                <w:szCs w:val="24"/>
                <w:lang w:eastAsia="en-US"/>
              </w:rPr>
            </w:pPr>
            <w:r w:rsidRPr="00906D72">
              <w:rPr>
                <w:bCs/>
                <w:szCs w:val="24"/>
                <w:lang w:eastAsia="en-US"/>
              </w:rPr>
              <w:t>Raudonojo pastato išlaikymas sunaudo</w:t>
            </w:r>
            <w:r>
              <w:rPr>
                <w:bCs/>
                <w:szCs w:val="24"/>
                <w:lang w:eastAsia="en-US"/>
              </w:rPr>
              <w:t>davo</w:t>
            </w:r>
            <w:r w:rsidRPr="00906D72">
              <w:rPr>
                <w:bCs/>
                <w:szCs w:val="24"/>
                <w:lang w:eastAsia="en-US"/>
              </w:rPr>
              <w:t xml:space="preserve"> daug mokyklos biudžeto lėšų. </w:t>
            </w:r>
          </w:p>
          <w:p w14:paraId="71ED2273" w14:textId="77777777" w:rsidR="0076196C" w:rsidRPr="00D92FBF" w:rsidRDefault="0076196C" w:rsidP="00290330">
            <w:pPr>
              <w:jc w:val="both"/>
              <w:rPr>
                <w:bCs/>
                <w:szCs w:val="24"/>
                <w:lang w:eastAsia="en-US"/>
              </w:rPr>
            </w:pPr>
            <w:r>
              <w:rPr>
                <w:bCs/>
                <w:szCs w:val="24"/>
                <w:lang w:eastAsia="en-US"/>
              </w:rPr>
              <w:t>Buvo dalinai a</w:t>
            </w:r>
            <w:r w:rsidRPr="00906D72">
              <w:rPr>
                <w:bCs/>
                <w:szCs w:val="24"/>
                <w:lang w:eastAsia="en-US"/>
              </w:rPr>
              <w:t>tsisakyt</w:t>
            </w:r>
            <w:r w:rsidR="00AA2084">
              <w:rPr>
                <w:bCs/>
                <w:szCs w:val="24"/>
                <w:lang w:eastAsia="en-US"/>
              </w:rPr>
              <w:t>a</w:t>
            </w:r>
            <w:r w:rsidRPr="00906D72">
              <w:rPr>
                <w:bCs/>
                <w:szCs w:val="24"/>
                <w:lang w:eastAsia="en-US"/>
              </w:rPr>
              <w:t xml:space="preserve"> raudonojo pastato eksploatacijos, ten </w:t>
            </w:r>
            <w:r>
              <w:rPr>
                <w:bCs/>
                <w:szCs w:val="24"/>
                <w:lang w:eastAsia="en-US"/>
              </w:rPr>
              <w:t xml:space="preserve">liko vienas technologijų </w:t>
            </w:r>
            <w:r w:rsidRPr="00906D72">
              <w:rPr>
                <w:bCs/>
                <w:szCs w:val="24"/>
                <w:lang w:eastAsia="en-US"/>
              </w:rPr>
              <w:t>kabinet</w:t>
            </w:r>
            <w:r>
              <w:rPr>
                <w:bCs/>
                <w:szCs w:val="24"/>
                <w:lang w:eastAsia="en-US"/>
              </w:rPr>
              <w:t>a</w:t>
            </w:r>
            <w:r w:rsidRPr="00906D72">
              <w:rPr>
                <w:bCs/>
                <w:szCs w:val="24"/>
                <w:lang w:eastAsia="en-US"/>
              </w:rPr>
              <w:t>s</w:t>
            </w:r>
            <w:r>
              <w:rPr>
                <w:bCs/>
                <w:szCs w:val="24"/>
                <w:lang w:eastAsia="en-US"/>
              </w:rPr>
              <w:t>, kuris naudojamas 1 kartą per savaitę. Kiti kabinetai, bibliotekos knygos</w:t>
            </w:r>
            <w:r w:rsidRPr="00906D72">
              <w:rPr>
                <w:bCs/>
                <w:szCs w:val="24"/>
                <w:lang w:eastAsia="en-US"/>
              </w:rPr>
              <w:t xml:space="preserve"> perkel</w:t>
            </w:r>
            <w:r>
              <w:rPr>
                <w:bCs/>
                <w:szCs w:val="24"/>
                <w:lang w:eastAsia="en-US"/>
              </w:rPr>
              <w:t>ti</w:t>
            </w:r>
            <w:r w:rsidRPr="00906D72">
              <w:rPr>
                <w:bCs/>
                <w:szCs w:val="24"/>
                <w:lang w:eastAsia="en-US"/>
              </w:rPr>
              <w:t xml:space="preserve"> į pagrindines mokyklos patalpas.</w:t>
            </w:r>
          </w:p>
        </w:tc>
        <w:tc>
          <w:tcPr>
            <w:tcW w:w="236" w:type="dxa"/>
            <w:vMerge w:val="restart"/>
            <w:tcBorders>
              <w:top w:val="nil"/>
              <w:bottom w:val="nil"/>
              <w:right w:val="nil"/>
            </w:tcBorders>
          </w:tcPr>
          <w:p w14:paraId="314F79F5" w14:textId="77777777" w:rsidR="0076196C" w:rsidRPr="00CA31BC" w:rsidRDefault="0076196C" w:rsidP="00290330">
            <w:pPr>
              <w:rPr>
                <w:rFonts w:eastAsia="Calibri"/>
                <w:szCs w:val="24"/>
                <w:lang w:eastAsia="en-US"/>
              </w:rPr>
            </w:pPr>
          </w:p>
        </w:tc>
      </w:tr>
      <w:tr w:rsidR="0076196C" w:rsidRPr="00CA31BC" w14:paraId="7DB094CE" w14:textId="77777777" w:rsidTr="006D11B7">
        <w:trPr>
          <w:trHeight w:val="135"/>
        </w:trPr>
        <w:tc>
          <w:tcPr>
            <w:tcW w:w="2835" w:type="dxa"/>
            <w:vMerge/>
            <w:tcBorders>
              <w:left w:val="single" w:sz="4" w:space="0" w:color="auto"/>
              <w:right w:val="single" w:sz="4" w:space="0" w:color="auto"/>
            </w:tcBorders>
          </w:tcPr>
          <w:p w14:paraId="0174CAB7"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78917F8E" w14:textId="77777777" w:rsidR="0076196C" w:rsidRPr="00CA31BC" w:rsidRDefault="0076196C" w:rsidP="00B63C6A">
            <w:pPr>
              <w:jc w:val="both"/>
              <w:rPr>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tc>
        <w:tc>
          <w:tcPr>
            <w:tcW w:w="8686" w:type="dxa"/>
            <w:gridSpan w:val="2"/>
            <w:tcBorders>
              <w:left w:val="single" w:sz="4" w:space="0" w:color="auto"/>
              <w:bottom w:val="single" w:sz="4" w:space="0" w:color="auto"/>
              <w:right w:val="single" w:sz="4" w:space="0" w:color="auto"/>
            </w:tcBorders>
          </w:tcPr>
          <w:p w14:paraId="00D769D2" w14:textId="77777777" w:rsidR="0076196C" w:rsidRDefault="0076196C" w:rsidP="00290330">
            <w:pPr>
              <w:jc w:val="both"/>
              <w:rPr>
                <w:bCs/>
                <w:szCs w:val="24"/>
                <w:lang w:eastAsia="en-US"/>
              </w:rPr>
            </w:pPr>
            <w:r w:rsidRPr="00840702">
              <w:rPr>
                <w:szCs w:val="24"/>
                <w:lang w:eastAsia="en-US"/>
              </w:rPr>
              <w:t>Ryškiausios problemos:</w:t>
            </w:r>
            <w:r w:rsidRPr="00D92FBF">
              <w:rPr>
                <w:bCs/>
                <w:szCs w:val="24"/>
                <w:lang w:eastAsia="en-US"/>
              </w:rPr>
              <w:t xml:space="preserve"> </w:t>
            </w:r>
          </w:p>
          <w:p w14:paraId="63034646" w14:textId="77777777" w:rsidR="0076196C" w:rsidRDefault="0076196C" w:rsidP="00290330">
            <w:pPr>
              <w:jc w:val="both"/>
              <w:rPr>
                <w:bCs/>
                <w:szCs w:val="24"/>
                <w:lang w:eastAsia="en-US"/>
              </w:rPr>
            </w:pPr>
            <w:r w:rsidRPr="00D92FBF">
              <w:rPr>
                <w:bCs/>
                <w:szCs w:val="24"/>
                <w:lang w:eastAsia="en-US"/>
              </w:rPr>
              <w:t>1</w:t>
            </w:r>
            <w:r>
              <w:rPr>
                <w:bCs/>
                <w:szCs w:val="24"/>
                <w:lang w:eastAsia="en-US"/>
              </w:rPr>
              <w:t xml:space="preserve">. </w:t>
            </w:r>
            <w:r w:rsidR="00AA2084">
              <w:rPr>
                <w:bCs/>
                <w:szCs w:val="24"/>
                <w:lang w:eastAsia="en-US"/>
              </w:rPr>
              <w:t>M</w:t>
            </w:r>
            <w:r w:rsidRPr="00D92FBF">
              <w:rPr>
                <w:bCs/>
                <w:szCs w:val="24"/>
                <w:lang w:eastAsia="en-US"/>
              </w:rPr>
              <w:t>okinių skaičiaus mažėjimas</w:t>
            </w:r>
            <w:r w:rsidR="00AA2084">
              <w:rPr>
                <w:bCs/>
                <w:szCs w:val="24"/>
                <w:lang w:eastAsia="en-US"/>
              </w:rPr>
              <w:t>.</w:t>
            </w:r>
            <w:r>
              <w:rPr>
                <w:bCs/>
                <w:szCs w:val="24"/>
                <w:lang w:eastAsia="en-US"/>
              </w:rPr>
              <w:t xml:space="preserve"> </w:t>
            </w:r>
          </w:p>
          <w:p w14:paraId="0FABD2FC" w14:textId="77777777" w:rsidR="0076196C" w:rsidRDefault="0076196C" w:rsidP="00290330">
            <w:pPr>
              <w:jc w:val="both"/>
              <w:rPr>
                <w:bCs/>
                <w:szCs w:val="24"/>
                <w:lang w:eastAsia="en-US"/>
              </w:rPr>
            </w:pPr>
            <w:r>
              <w:rPr>
                <w:bCs/>
                <w:szCs w:val="24"/>
                <w:lang w:eastAsia="en-US"/>
              </w:rPr>
              <w:t>Daug bendraujam</w:t>
            </w:r>
            <w:r w:rsidR="00EC44AF">
              <w:rPr>
                <w:bCs/>
                <w:szCs w:val="24"/>
                <w:lang w:eastAsia="en-US"/>
              </w:rPr>
              <w:t>a</w:t>
            </w:r>
            <w:r>
              <w:rPr>
                <w:bCs/>
                <w:szCs w:val="24"/>
                <w:lang w:eastAsia="en-US"/>
              </w:rPr>
              <w:t xml:space="preserve"> su mokiniais ir jų tėvais dėl mokymosi mūsų mokykloje. </w:t>
            </w:r>
            <w:r w:rsidR="00EC44AF">
              <w:rPr>
                <w:bCs/>
                <w:szCs w:val="24"/>
                <w:lang w:eastAsia="en-US"/>
              </w:rPr>
              <w:t>Diskutuojama apie</w:t>
            </w:r>
            <w:r>
              <w:rPr>
                <w:bCs/>
                <w:szCs w:val="24"/>
                <w:lang w:eastAsia="en-US"/>
              </w:rPr>
              <w:t xml:space="preserve"> mokyklos materialinę bazę, mokymo(</w:t>
            </w:r>
            <w:proofErr w:type="spellStart"/>
            <w:r>
              <w:rPr>
                <w:bCs/>
                <w:szCs w:val="24"/>
                <w:lang w:eastAsia="en-US"/>
              </w:rPr>
              <w:t>si</w:t>
            </w:r>
            <w:proofErr w:type="spellEnd"/>
            <w:r>
              <w:rPr>
                <w:bCs/>
                <w:szCs w:val="24"/>
                <w:lang w:eastAsia="en-US"/>
              </w:rPr>
              <w:t>) sąlygas, rezultatus. Stengiam</w:t>
            </w:r>
            <w:r w:rsidR="00EC44AF">
              <w:rPr>
                <w:bCs/>
                <w:szCs w:val="24"/>
                <w:lang w:eastAsia="en-US"/>
              </w:rPr>
              <w:t>asi</w:t>
            </w:r>
            <w:r>
              <w:rPr>
                <w:bCs/>
                <w:szCs w:val="24"/>
                <w:lang w:eastAsia="en-US"/>
              </w:rPr>
              <w:t xml:space="preserve">, kad tėvai būtų suinteresuoti, jog jų vaikai lankytų gyvenamojoje vietoje esančią ugdymo įstaigą. </w:t>
            </w:r>
          </w:p>
          <w:p w14:paraId="4DC9CD89" w14:textId="77777777" w:rsidR="0076196C" w:rsidRDefault="0076196C" w:rsidP="00290330">
            <w:pPr>
              <w:jc w:val="both"/>
              <w:rPr>
                <w:bCs/>
                <w:szCs w:val="24"/>
                <w:lang w:eastAsia="en-US"/>
              </w:rPr>
            </w:pPr>
            <w:r>
              <w:rPr>
                <w:bCs/>
                <w:szCs w:val="24"/>
                <w:lang w:eastAsia="en-US"/>
              </w:rPr>
              <w:t>2. Sunku rasti specialistus, norinčius ir galinčius dirbti mokykloje.</w:t>
            </w:r>
          </w:p>
          <w:p w14:paraId="51DEDF41" w14:textId="77777777" w:rsidR="0076196C" w:rsidRDefault="0076196C" w:rsidP="00290330">
            <w:pPr>
              <w:jc w:val="both"/>
              <w:rPr>
                <w:bCs/>
                <w:szCs w:val="24"/>
                <w:lang w:eastAsia="en-US"/>
              </w:rPr>
            </w:pPr>
            <w:r>
              <w:rPr>
                <w:bCs/>
                <w:szCs w:val="24"/>
                <w:lang w:eastAsia="en-US"/>
              </w:rPr>
              <w:t>Ieškom</w:t>
            </w:r>
            <w:r w:rsidR="00EC44AF">
              <w:rPr>
                <w:bCs/>
                <w:szCs w:val="24"/>
                <w:lang w:eastAsia="en-US"/>
              </w:rPr>
              <w:t>a</w:t>
            </w:r>
            <w:r>
              <w:rPr>
                <w:bCs/>
                <w:szCs w:val="24"/>
                <w:lang w:eastAsia="en-US"/>
              </w:rPr>
              <w:t xml:space="preserve"> galimyb</w:t>
            </w:r>
            <w:r w:rsidR="00EC44AF">
              <w:rPr>
                <w:bCs/>
                <w:szCs w:val="24"/>
                <w:lang w:eastAsia="en-US"/>
              </w:rPr>
              <w:t>ių</w:t>
            </w:r>
            <w:r>
              <w:rPr>
                <w:bCs/>
                <w:szCs w:val="24"/>
                <w:lang w:eastAsia="en-US"/>
              </w:rPr>
              <w:t xml:space="preserve"> pirkti logopedo paslaugą, jei atsiras specialistas.</w:t>
            </w:r>
          </w:p>
          <w:p w14:paraId="6E279C53" w14:textId="77777777" w:rsidR="0076196C" w:rsidRDefault="0076196C" w:rsidP="00290330">
            <w:pPr>
              <w:jc w:val="both"/>
              <w:rPr>
                <w:bCs/>
                <w:szCs w:val="24"/>
                <w:lang w:eastAsia="en-US"/>
              </w:rPr>
            </w:pPr>
            <w:r>
              <w:rPr>
                <w:bCs/>
                <w:szCs w:val="24"/>
                <w:lang w:eastAsia="en-US"/>
              </w:rPr>
              <w:t xml:space="preserve">3. Sunku </w:t>
            </w:r>
            <w:r w:rsidRPr="00FB4E5A">
              <w:rPr>
                <w:bCs/>
                <w:szCs w:val="24"/>
                <w:lang w:eastAsia="en-US"/>
              </w:rPr>
              <w:t>rasti</w:t>
            </w:r>
            <w:r w:rsidRPr="002739BB">
              <w:rPr>
                <w:bCs/>
                <w:color w:val="0070C0"/>
                <w:szCs w:val="24"/>
                <w:lang w:eastAsia="en-US"/>
              </w:rPr>
              <w:t xml:space="preserve"> </w:t>
            </w:r>
            <w:r>
              <w:rPr>
                <w:bCs/>
                <w:szCs w:val="24"/>
                <w:lang w:eastAsia="en-US"/>
              </w:rPr>
              <w:t>mokytojus dalykininkus (matematikos, pradinių kl.</w:t>
            </w:r>
            <w:r w:rsidR="00AA2084">
              <w:rPr>
                <w:bCs/>
                <w:szCs w:val="24"/>
                <w:lang w:eastAsia="en-US"/>
              </w:rPr>
              <w:t xml:space="preserve"> mokytojus</w:t>
            </w:r>
            <w:r>
              <w:rPr>
                <w:bCs/>
                <w:szCs w:val="24"/>
                <w:lang w:eastAsia="en-US"/>
              </w:rPr>
              <w:t>)</w:t>
            </w:r>
          </w:p>
          <w:p w14:paraId="00A50295" w14:textId="77777777" w:rsidR="0076196C" w:rsidRPr="00CA31BC" w:rsidRDefault="0076196C" w:rsidP="00290330">
            <w:pPr>
              <w:tabs>
                <w:tab w:val="left" w:pos="319"/>
              </w:tabs>
              <w:jc w:val="both"/>
              <w:rPr>
                <w:szCs w:val="24"/>
                <w:lang w:eastAsia="en-US"/>
              </w:rPr>
            </w:pPr>
            <w:r>
              <w:rPr>
                <w:bCs/>
                <w:szCs w:val="24"/>
                <w:lang w:eastAsia="en-US"/>
              </w:rPr>
              <w:t>Jie linkę rinktis miesto mokyklas arba jau turi didelį darbo krūvį.</w:t>
            </w:r>
          </w:p>
        </w:tc>
        <w:tc>
          <w:tcPr>
            <w:tcW w:w="236" w:type="dxa"/>
            <w:vMerge/>
            <w:tcBorders>
              <w:top w:val="nil"/>
              <w:bottom w:val="nil"/>
              <w:right w:val="nil"/>
            </w:tcBorders>
          </w:tcPr>
          <w:p w14:paraId="5560CD4B" w14:textId="77777777" w:rsidR="0076196C" w:rsidRPr="00CA31BC" w:rsidRDefault="0076196C" w:rsidP="00290330">
            <w:pPr>
              <w:jc w:val="center"/>
              <w:rPr>
                <w:rFonts w:eastAsia="Calibri"/>
                <w:szCs w:val="24"/>
                <w:lang w:eastAsia="en-US"/>
              </w:rPr>
            </w:pPr>
          </w:p>
        </w:tc>
      </w:tr>
      <w:tr w:rsidR="0076196C" w:rsidRPr="00CA31BC" w14:paraId="5BF36DA7" w14:textId="77777777" w:rsidTr="006D11B7">
        <w:trPr>
          <w:gridAfter w:val="1"/>
          <w:wAfter w:w="236" w:type="dxa"/>
          <w:trHeight w:val="560"/>
        </w:trPr>
        <w:tc>
          <w:tcPr>
            <w:tcW w:w="2835" w:type="dxa"/>
            <w:vMerge/>
            <w:tcBorders>
              <w:left w:val="single" w:sz="4" w:space="0" w:color="auto"/>
              <w:bottom w:val="single" w:sz="4" w:space="0" w:color="auto"/>
              <w:right w:val="single" w:sz="4" w:space="0" w:color="auto"/>
            </w:tcBorders>
          </w:tcPr>
          <w:p w14:paraId="7A4990FA" w14:textId="77777777" w:rsidR="0076196C" w:rsidRPr="00CA31BC" w:rsidRDefault="0076196C" w:rsidP="00290330">
            <w:pPr>
              <w:rPr>
                <w:szCs w:val="24"/>
                <w:lang w:eastAsia="en-US"/>
              </w:rPr>
            </w:pPr>
          </w:p>
        </w:tc>
        <w:tc>
          <w:tcPr>
            <w:tcW w:w="3119" w:type="dxa"/>
            <w:tcBorders>
              <w:top w:val="single" w:sz="4" w:space="0" w:color="auto"/>
              <w:left w:val="single" w:sz="4" w:space="0" w:color="auto"/>
              <w:bottom w:val="single" w:sz="4" w:space="0" w:color="auto"/>
              <w:right w:val="single" w:sz="4" w:space="0" w:color="auto"/>
            </w:tcBorders>
          </w:tcPr>
          <w:p w14:paraId="734BC79F" w14:textId="77777777" w:rsidR="0076196C" w:rsidRPr="00CA31BC" w:rsidRDefault="0076196C" w:rsidP="00290330">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686" w:type="dxa"/>
            <w:gridSpan w:val="2"/>
            <w:tcBorders>
              <w:top w:val="single" w:sz="4" w:space="0" w:color="auto"/>
              <w:left w:val="single" w:sz="4" w:space="0" w:color="auto"/>
              <w:bottom w:val="single" w:sz="4" w:space="0" w:color="auto"/>
              <w:right w:val="single" w:sz="4" w:space="0" w:color="auto"/>
            </w:tcBorders>
          </w:tcPr>
          <w:p w14:paraId="3D3601E4" w14:textId="77777777" w:rsidR="0076196C" w:rsidRPr="00CA31BC" w:rsidRDefault="0076196C" w:rsidP="00290330">
            <w:pPr>
              <w:tabs>
                <w:tab w:val="left" w:pos="319"/>
              </w:tabs>
              <w:jc w:val="both"/>
              <w:rPr>
                <w:rFonts w:eastAsia="Calibri"/>
                <w:szCs w:val="24"/>
                <w:lang w:eastAsia="en-US"/>
              </w:rPr>
            </w:pPr>
            <w:r>
              <w:rPr>
                <w:rFonts w:eastAsia="Calibri"/>
                <w:szCs w:val="24"/>
                <w:lang w:eastAsia="en-US"/>
              </w:rPr>
              <w:t xml:space="preserve">Mažėjant mokinių skaičiui bus negalima 5–10 klasių komplektacija, o dėl to gresia ir kitų klasių irimas. </w:t>
            </w:r>
          </w:p>
        </w:tc>
      </w:tr>
      <w:tr w:rsidR="0076196C" w:rsidRPr="00CA31BC" w14:paraId="59DEDC62" w14:textId="77777777" w:rsidTr="006D11B7">
        <w:trPr>
          <w:gridAfter w:val="1"/>
          <w:wAfter w:w="235" w:type="dxa"/>
          <w:trHeight w:val="112"/>
        </w:trPr>
        <w:tc>
          <w:tcPr>
            <w:tcW w:w="2835" w:type="dxa"/>
            <w:tcBorders>
              <w:top w:val="single" w:sz="4" w:space="0" w:color="auto"/>
              <w:left w:val="single" w:sz="4" w:space="0" w:color="auto"/>
              <w:bottom w:val="single" w:sz="4" w:space="0" w:color="auto"/>
              <w:right w:val="single" w:sz="4" w:space="0" w:color="auto"/>
            </w:tcBorders>
          </w:tcPr>
          <w:p w14:paraId="24C29A1A" w14:textId="77777777" w:rsidR="0076196C" w:rsidRPr="00CA31BC" w:rsidRDefault="0076196C" w:rsidP="00290330">
            <w:pPr>
              <w:rPr>
                <w:color w:val="000000"/>
                <w:szCs w:val="24"/>
                <w:lang w:eastAsia="en-US"/>
              </w:rPr>
            </w:pPr>
            <w:r>
              <w:rPr>
                <w:color w:val="000000"/>
                <w:szCs w:val="24"/>
                <w:lang w:eastAsia="en-US"/>
              </w:rPr>
              <w:lastRenderedPageBreak/>
              <w:t>M</w:t>
            </w:r>
            <w:r w:rsidRPr="00CA31BC">
              <w:rPr>
                <w:color w:val="000000"/>
                <w:szCs w:val="24"/>
                <w:lang w:eastAsia="en-US"/>
              </w:rPr>
              <w:t>etų ataskaitos aptarimas įstaigos savivaldos institucijose</w:t>
            </w:r>
          </w:p>
        </w:tc>
        <w:tc>
          <w:tcPr>
            <w:tcW w:w="11806" w:type="dxa"/>
            <w:gridSpan w:val="3"/>
            <w:tcBorders>
              <w:top w:val="single" w:sz="4" w:space="0" w:color="auto"/>
              <w:left w:val="single" w:sz="4" w:space="0" w:color="auto"/>
              <w:bottom w:val="single" w:sz="4" w:space="0" w:color="auto"/>
              <w:right w:val="single" w:sz="4" w:space="0" w:color="auto"/>
            </w:tcBorders>
          </w:tcPr>
          <w:p w14:paraId="589EA9A4" w14:textId="77777777" w:rsidR="0076196C" w:rsidRPr="00CA31BC" w:rsidRDefault="0076196C" w:rsidP="00AA2084">
            <w:pPr>
              <w:jc w:val="both"/>
              <w:rPr>
                <w:bCs/>
                <w:color w:val="000000"/>
                <w:szCs w:val="24"/>
                <w:lang w:eastAsia="en-US"/>
              </w:rPr>
            </w:pPr>
            <w:r>
              <w:rPr>
                <w:bCs/>
                <w:color w:val="000000"/>
                <w:szCs w:val="24"/>
                <w:lang w:eastAsia="en-US"/>
              </w:rPr>
              <w:t xml:space="preserve">Metų </w:t>
            </w:r>
            <w:r w:rsidR="00AA2084">
              <w:rPr>
                <w:bCs/>
                <w:color w:val="000000"/>
                <w:szCs w:val="24"/>
                <w:lang w:eastAsia="en-US"/>
              </w:rPr>
              <w:t xml:space="preserve">veiklos </w:t>
            </w:r>
            <w:r>
              <w:rPr>
                <w:bCs/>
                <w:color w:val="000000"/>
                <w:szCs w:val="24"/>
                <w:lang w:eastAsia="en-US"/>
              </w:rPr>
              <w:t>ataskait</w:t>
            </w:r>
            <w:r w:rsidR="00AA2084">
              <w:rPr>
                <w:bCs/>
                <w:color w:val="000000"/>
                <w:szCs w:val="24"/>
                <w:lang w:eastAsia="en-US"/>
              </w:rPr>
              <w:t>a</w:t>
            </w:r>
            <w:r>
              <w:rPr>
                <w:bCs/>
                <w:color w:val="000000"/>
                <w:szCs w:val="24"/>
                <w:lang w:eastAsia="en-US"/>
              </w:rPr>
              <w:t xml:space="preserve"> aptariam</w:t>
            </w:r>
            <w:r w:rsidR="00AA2084">
              <w:rPr>
                <w:bCs/>
                <w:color w:val="000000"/>
                <w:szCs w:val="24"/>
                <w:lang w:eastAsia="en-US"/>
              </w:rPr>
              <w:t>a</w:t>
            </w:r>
            <w:r>
              <w:rPr>
                <w:bCs/>
                <w:color w:val="000000"/>
                <w:szCs w:val="24"/>
                <w:lang w:eastAsia="en-US"/>
              </w:rPr>
              <w:t xml:space="preserve"> Mokyklos tarybos posėdyje</w:t>
            </w:r>
            <w:r w:rsidR="00B63C6A">
              <w:rPr>
                <w:bCs/>
                <w:color w:val="000000"/>
                <w:szCs w:val="24"/>
                <w:lang w:eastAsia="en-US"/>
              </w:rPr>
              <w:t xml:space="preserve"> (</w:t>
            </w:r>
            <w:r w:rsidR="00B63C6A">
              <w:rPr>
                <w:color w:val="000000"/>
                <w:szCs w:val="24"/>
              </w:rPr>
              <w:t>2024-04-04, protokolo Nr. 3)</w:t>
            </w:r>
            <w:r>
              <w:rPr>
                <w:bCs/>
                <w:color w:val="000000"/>
                <w:szCs w:val="24"/>
                <w:lang w:eastAsia="en-US"/>
              </w:rPr>
              <w:t>, viešinama mokyklos svetainėje</w:t>
            </w:r>
            <w:r>
              <w:t xml:space="preserve"> </w:t>
            </w:r>
            <w:hyperlink r:id="rId9" w:history="1">
              <w:r w:rsidRPr="006B75F2">
                <w:rPr>
                  <w:rStyle w:val="Hipersaitas"/>
                  <w:bCs/>
                  <w:szCs w:val="24"/>
                </w:rPr>
                <w:t>https://viesvile.com/vmokykla</w:t>
              </w:r>
            </w:hyperlink>
            <w:r>
              <w:rPr>
                <w:rStyle w:val="Hipersaitas"/>
                <w:bCs/>
                <w:szCs w:val="24"/>
              </w:rPr>
              <w:t>.</w:t>
            </w:r>
            <w:r>
              <w:rPr>
                <w:bCs/>
                <w:color w:val="000000"/>
                <w:szCs w:val="24"/>
                <w:lang w:eastAsia="en-US"/>
              </w:rPr>
              <w:t xml:space="preserve"> </w:t>
            </w:r>
          </w:p>
        </w:tc>
      </w:tr>
      <w:tr w:rsidR="0076196C" w:rsidRPr="00CA31BC" w14:paraId="22570922" w14:textId="77777777" w:rsidTr="006D11B7">
        <w:trPr>
          <w:gridAfter w:val="1"/>
          <w:wAfter w:w="235" w:type="dxa"/>
          <w:trHeight w:val="112"/>
        </w:trPr>
        <w:tc>
          <w:tcPr>
            <w:tcW w:w="2835" w:type="dxa"/>
            <w:vMerge w:val="restart"/>
            <w:tcBorders>
              <w:top w:val="single" w:sz="4" w:space="0" w:color="auto"/>
              <w:left w:val="single" w:sz="4" w:space="0" w:color="auto"/>
              <w:right w:val="single" w:sz="4" w:space="0" w:color="auto"/>
            </w:tcBorders>
          </w:tcPr>
          <w:p w14:paraId="55B97357" w14:textId="77777777" w:rsidR="0076196C" w:rsidRPr="00CA31BC" w:rsidRDefault="0076196C" w:rsidP="00290330">
            <w:pPr>
              <w:rPr>
                <w:bCs/>
                <w:szCs w:val="24"/>
                <w:lang w:eastAsia="en-US"/>
              </w:rPr>
            </w:pPr>
            <w:r w:rsidRPr="00CA31BC">
              <w:rPr>
                <w:szCs w:val="24"/>
                <w:lang w:eastAsia="en-US"/>
              </w:rPr>
              <w:t xml:space="preserve">Papildoma informacija apie </w:t>
            </w:r>
            <w:r>
              <w:rPr>
                <w:szCs w:val="24"/>
                <w:lang w:eastAsia="en-US"/>
              </w:rPr>
              <w:t>įstaigą</w:t>
            </w:r>
          </w:p>
        </w:tc>
        <w:tc>
          <w:tcPr>
            <w:tcW w:w="4565" w:type="dxa"/>
            <w:gridSpan w:val="2"/>
            <w:tcBorders>
              <w:top w:val="single" w:sz="4" w:space="0" w:color="auto"/>
              <w:left w:val="single" w:sz="4" w:space="0" w:color="auto"/>
              <w:bottom w:val="single" w:sz="4" w:space="0" w:color="auto"/>
              <w:right w:val="single" w:sz="4" w:space="0" w:color="auto"/>
            </w:tcBorders>
          </w:tcPr>
          <w:p w14:paraId="468AC558" w14:textId="77777777" w:rsidR="0076196C" w:rsidRPr="00CA31BC" w:rsidRDefault="0076196C" w:rsidP="00290330">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241" w:type="dxa"/>
            <w:tcBorders>
              <w:top w:val="single" w:sz="4" w:space="0" w:color="auto"/>
              <w:left w:val="single" w:sz="4" w:space="0" w:color="auto"/>
              <w:bottom w:val="single" w:sz="4" w:space="0" w:color="auto"/>
              <w:right w:val="single" w:sz="4" w:space="0" w:color="auto"/>
            </w:tcBorders>
          </w:tcPr>
          <w:p w14:paraId="54C19AA8" w14:textId="77777777" w:rsidR="0076196C" w:rsidRPr="00CA31BC" w:rsidRDefault="0076196C" w:rsidP="00290330">
            <w:pPr>
              <w:jc w:val="both"/>
              <w:rPr>
                <w:bCs/>
                <w:szCs w:val="24"/>
                <w:lang w:eastAsia="en-US"/>
              </w:rPr>
            </w:pPr>
            <w:r>
              <w:rPr>
                <w:bCs/>
                <w:szCs w:val="24"/>
                <w:lang w:eastAsia="en-US"/>
              </w:rPr>
              <w:t>Mokyklos interneto svetainėje</w:t>
            </w:r>
            <w:r w:rsidR="00AA2084">
              <w:rPr>
                <w:bCs/>
                <w:szCs w:val="24"/>
                <w:lang w:eastAsia="en-US"/>
              </w:rPr>
              <w:t xml:space="preserve"> </w:t>
            </w:r>
            <w:hyperlink r:id="rId10" w:history="1">
              <w:r w:rsidR="00AA2084" w:rsidRPr="007A1B74">
                <w:rPr>
                  <w:rStyle w:val="Hipersaitas"/>
                  <w:bCs/>
                  <w:szCs w:val="24"/>
                </w:rPr>
                <w:t>https://viesvile.com/vmokykla</w:t>
              </w:r>
            </w:hyperlink>
            <w:r>
              <w:rPr>
                <w:bCs/>
                <w:szCs w:val="24"/>
                <w:lang w:eastAsia="en-US"/>
              </w:rPr>
              <w:t>, rajoninėje spaudoje</w:t>
            </w:r>
            <w:r w:rsidR="00AA2084">
              <w:rPr>
                <w:bCs/>
                <w:szCs w:val="24"/>
                <w:lang w:eastAsia="en-US"/>
              </w:rPr>
              <w:t>.</w:t>
            </w:r>
            <w:r>
              <w:rPr>
                <w:bCs/>
                <w:szCs w:val="24"/>
                <w:lang w:eastAsia="en-US"/>
              </w:rPr>
              <w:t xml:space="preserve"> </w:t>
            </w:r>
          </w:p>
        </w:tc>
      </w:tr>
      <w:tr w:rsidR="0076196C" w:rsidRPr="00CA31BC" w14:paraId="06989226" w14:textId="77777777" w:rsidTr="006D11B7">
        <w:trPr>
          <w:gridAfter w:val="1"/>
          <w:wAfter w:w="235" w:type="dxa"/>
          <w:trHeight w:val="285"/>
        </w:trPr>
        <w:tc>
          <w:tcPr>
            <w:tcW w:w="2835" w:type="dxa"/>
            <w:vMerge/>
            <w:tcBorders>
              <w:left w:val="single" w:sz="4" w:space="0" w:color="auto"/>
              <w:right w:val="single" w:sz="4" w:space="0" w:color="auto"/>
            </w:tcBorders>
          </w:tcPr>
          <w:p w14:paraId="000618A0" w14:textId="77777777" w:rsidR="0076196C" w:rsidRPr="00CA31BC" w:rsidRDefault="0076196C" w:rsidP="00290330">
            <w:pPr>
              <w:rPr>
                <w:bCs/>
                <w:szCs w:val="24"/>
                <w:lang w:eastAsia="en-US"/>
              </w:rPr>
            </w:pPr>
          </w:p>
        </w:tc>
        <w:tc>
          <w:tcPr>
            <w:tcW w:w="4565" w:type="dxa"/>
            <w:gridSpan w:val="2"/>
            <w:tcBorders>
              <w:top w:val="single" w:sz="4" w:space="0" w:color="auto"/>
              <w:left w:val="single" w:sz="4" w:space="0" w:color="auto"/>
              <w:bottom w:val="single" w:sz="4" w:space="0" w:color="auto"/>
              <w:right w:val="single" w:sz="4" w:space="0" w:color="auto"/>
            </w:tcBorders>
          </w:tcPr>
          <w:p w14:paraId="04EB593E" w14:textId="77777777" w:rsidR="0076196C" w:rsidRPr="00522322" w:rsidRDefault="0076196C" w:rsidP="00290330">
            <w:pPr>
              <w:rPr>
                <w:szCs w:val="24"/>
                <w:lang w:eastAsia="en-US"/>
              </w:rPr>
            </w:pPr>
            <w:r w:rsidRPr="00522322">
              <w:rPr>
                <w:szCs w:val="24"/>
                <w:lang w:eastAsia="en-US"/>
              </w:rPr>
              <w:t>Įstaigos partneriai</w:t>
            </w:r>
            <w:r w:rsidR="0089276C">
              <w:rPr>
                <w:szCs w:val="24"/>
                <w:lang w:eastAsia="en-US"/>
              </w:rPr>
              <w:t>.</w:t>
            </w:r>
          </w:p>
          <w:p w14:paraId="53CB4BF5" w14:textId="77777777" w:rsidR="0076196C" w:rsidRPr="00CA31BC" w:rsidRDefault="0076196C" w:rsidP="00290330">
            <w:pPr>
              <w:rPr>
                <w:szCs w:val="24"/>
                <w:lang w:eastAsia="en-US"/>
              </w:rPr>
            </w:pPr>
            <w:r w:rsidRPr="00CA31BC">
              <w:rPr>
                <w:szCs w:val="24"/>
                <w:lang w:eastAsia="en-US"/>
              </w:rPr>
              <w:t>Bendradarbiavimo su mokinių tėvais (globėjais, rūpintojais) ir socialiniais partneriais formos</w:t>
            </w:r>
          </w:p>
        </w:tc>
        <w:tc>
          <w:tcPr>
            <w:tcW w:w="7241" w:type="dxa"/>
            <w:tcBorders>
              <w:top w:val="single" w:sz="4" w:space="0" w:color="auto"/>
              <w:left w:val="single" w:sz="4" w:space="0" w:color="auto"/>
              <w:bottom w:val="single" w:sz="4" w:space="0" w:color="auto"/>
              <w:right w:val="single" w:sz="4" w:space="0" w:color="auto"/>
            </w:tcBorders>
          </w:tcPr>
          <w:p w14:paraId="392DD27C" w14:textId="77777777" w:rsidR="004D2A79" w:rsidRDefault="0076196C" w:rsidP="004D2A79">
            <w:pPr>
              <w:jc w:val="both"/>
              <w:rPr>
                <w:szCs w:val="24"/>
                <w:lang w:eastAsia="en-US"/>
              </w:rPr>
            </w:pPr>
            <w:r>
              <w:rPr>
                <w:szCs w:val="24"/>
                <w:lang w:eastAsia="en-US"/>
              </w:rPr>
              <w:t>S</w:t>
            </w:r>
            <w:r w:rsidRPr="00522322">
              <w:rPr>
                <w:szCs w:val="24"/>
                <w:lang w:eastAsia="en-US"/>
              </w:rPr>
              <w:t>ocialiniai partneriai</w:t>
            </w:r>
            <w:r w:rsidR="004D2A79">
              <w:rPr>
                <w:szCs w:val="24"/>
                <w:lang w:eastAsia="en-US"/>
              </w:rPr>
              <w:t xml:space="preserve"> išlik</w:t>
            </w:r>
            <w:r w:rsidR="006D11B7">
              <w:rPr>
                <w:szCs w:val="24"/>
                <w:lang w:eastAsia="en-US"/>
              </w:rPr>
              <w:t>o</w:t>
            </w:r>
            <w:r w:rsidR="004D2A79">
              <w:rPr>
                <w:szCs w:val="24"/>
                <w:lang w:eastAsia="en-US"/>
              </w:rPr>
              <w:t xml:space="preserve"> tie patys, kurie paminėti 2022 m. veiklos ataskaitoje. </w:t>
            </w:r>
          </w:p>
          <w:p w14:paraId="2DF0B691" w14:textId="77777777" w:rsidR="00AA2084" w:rsidRPr="00AA2084" w:rsidRDefault="0089276C" w:rsidP="004D2A79">
            <w:pPr>
              <w:jc w:val="both"/>
              <w:rPr>
                <w:color w:val="FF0000"/>
                <w:szCs w:val="24"/>
                <w:lang w:eastAsia="en-US"/>
              </w:rPr>
            </w:pPr>
            <w:r>
              <w:rPr>
                <w:szCs w:val="24"/>
                <w:lang w:eastAsia="en-US"/>
              </w:rPr>
              <w:t xml:space="preserve">Su tėvais </w:t>
            </w:r>
            <w:r w:rsidRPr="00CA31BC">
              <w:rPr>
                <w:szCs w:val="24"/>
                <w:lang w:eastAsia="en-US"/>
              </w:rPr>
              <w:t>(globėjais, rūpintojais)</w:t>
            </w:r>
            <w:r>
              <w:rPr>
                <w:szCs w:val="24"/>
                <w:lang w:eastAsia="en-US"/>
              </w:rPr>
              <w:t xml:space="preserve"> ir socialiniais partneriais organizuojami bendri renginiai: susitikimai mokykloje ir darbovietėse, paskaitos-diskusijos, bendri projektai, dalyvavimas akcijose, talkose, varžybose, išvykose, koncertuose.</w:t>
            </w:r>
          </w:p>
        </w:tc>
      </w:tr>
      <w:tr w:rsidR="0076196C" w:rsidRPr="00CA31BC" w14:paraId="48F941A0" w14:textId="77777777" w:rsidTr="006D11B7">
        <w:trPr>
          <w:gridAfter w:val="1"/>
          <w:wAfter w:w="235" w:type="dxa"/>
          <w:trHeight w:val="285"/>
        </w:trPr>
        <w:tc>
          <w:tcPr>
            <w:tcW w:w="2835" w:type="dxa"/>
            <w:vMerge/>
            <w:tcBorders>
              <w:left w:val="single" w:sz="4" w:space="0" w:color="auto"/>
              <w:right w:val="single" w:sz="4" w:space="0" w:color="auto"/>
            </w:tcBorders>
          </w:tcPr>
          <w:p w14:paraId="262B7B7F" w14:textId="77777777" w:rsidR="0076196C" w:rsidRPr="00CA31BC" w:rsidRDefault="0076196C" w:rsidP="00290330">
            <w:pPr>
              <w:rPr>
                <w:bCs/>
                <w:szCs w:val="24"/>
                <w:lang w:eastAsia="en-US"/>
              </w:rPr>
            </w:pPr>
          </w:p>
        </w:tc>
        <w:tc>
          <w:tcPr>
            <w:tcW w:w="4565" w:type="dxa"/>
            <w:gridSpan w:val="2"/>
            <w:tcBorders>
              <w:top w:val="single" w:sz="4" w:space="0" w:color="auto"/>
              <w:left w:val="single" w:sz="4" w:space="0" w:color="auto"/>
              <w:bottom w:val="single" w:sz="4" w:space="0" w:color="auto"/>
              <w:right w:val="single" w:sz="4" w:space="0" w:color="auto"/>
            </w:tcBorders>
          </w:tcPr>
          <w:p w14:paraId="6D2D79BF" w14:textId="77777777" w:rsidR="0076196C" w:rsidRDefault="0076196C" w:rsidP="00290330">
            <w:r>
              <w:rPr>
                <w:szCs w:val="24"/>
                <w:lang w:eastAsia="en-US"/>
              </w:rPr>
              <w:t>Įstaigos</w:t>
            </w:r>
            <w:r w:rsidRPr="00CA31BC">
              <w:rPr>
                <w:szCs w:val="24"/>
                <w:lang w:eastAsia="en-US"/>
              </w:rPr>
              <w:t xml:space="preserve"> bendruomenės iniciatyvos</w:t>
            </w:r>
          </w:p>
          <w:p w14:paraId="04A48096" w14:textId="77777777" w:rsidR="0076196C" w:rsidRPr="00CA31BC" w:rsidRDefault="0076196C" w:rsidP="00290330">
            <w:pPr>
              <w:rPr>
                <w:szCs w:val="24"/>
                <w:lang w:eastAsia="en-US"/>
              </w:rPr>
            </w:pPr>
          </w:p>
        </w:tc>
        <w:tc>
          <w:tcPr>
            <w:tcW w:w="7241" w:type="dxa"/>
            <w:tcBorders>
              <w:top w:val="single" w:sz="4" w:space="0" w:color="auto"/>
              <w:left w:val="single" w:sz="4" w:space="0" w:color="auto"/>
              <w:bottom w:val="single" w:sz="4" w:space="0" w:color="auto"/>
              <w:right w:val="single" w:sz="4" w:space="0" w:color="auto"/>
            </w:tcBorders>
          </w:tcPr>
          <w:p w14:paraId="35E5B90F" w14:textId="77777777" w:rsidR="0076196C" w:rsidRPr="006B190D" w:rsidRDefault="0076196C" w:rsidP="00290330">
            <w:pPr>
              <w:jc w:val="both"/>
              <w:rPr>
                <w:rFonts w:eastAsia="Calibri"/>
                <w:szCs w:val="22"/>
              </w:rPr>
            </w:pPr>
            <w:r>
              <w:rPr>
                <w:rFonts w:eastAsia="Calibri"/>
                <w:szCs w:val="22"/>
              </w:rPr>
              <w:t>Buvo t</w:t>
            </w:r>
            <w:r w:rsidRPr="00746480">
              <w:rPr>
                <w:rFonts w:eastAsia="Calibri"/>
                <w:szCs w:val="22"/>
              </w:rPr>
              <w:t>ęsiamos</w:t>
            </w:r>
            <w:r>
              <w:rPr>
                <w:rFonts w:eastAsia="Calibri"/>
                <w:szCs w:val="22"/>
              </w:rPr>
              <w:t xml:space="preserve"> </w:t>
            </w:r>
            <w:r w:rsidRPr="00746480">
              <w:rPr>
                <w:rFonts w:eastAsia="Calibri"/>
                <w:szCs w:val="22"/>
              </w:rPr>
              <w:t xml:space="preserve">iniciatyvos, padedančios suburti visą mokyklos </w:t>
            </w:r>
            <w:r>
              <w:rPr>
                <w:rFonts w:eastAsia="Calibri"/>
                <w:szCs w:val="22"/>
              </w:rPr>
              <w:t xml:space="preserve">ir </w:t>
            </w:r>
            <w:r w:rsidRPr="00746480">
              <w:rPr>
                <w:rFonts w:eastAsia="Calibri"/>
                <w:szCs w:val="22"/>
              </w:rPr>
              <w:t xml:space="preserve">miestelio </w:t>
            </w:r>
            <w:r>
              <w:rPr>
                <w:rFonts w:eastAsia="Calibri"/>
                <w:szCs w:val="22"/>
              </w:rPr>
              <w:t xml:space="preserve">bendruomenę: </w:t>
            </w:r>
            <w:r w:rsidRPr="00EB2634">
              <w:t>Kalėdinė mugė</w:t>
            </w:r>
            <w:r>
              <w:t xml:space="preserve"> mokykloje „Gera dalintis gerumu“, talka „Darom“, Karjeros ugdymo diena „Pasimatuok profesiją ar amatą“, kai mokiniai lankosi miestelio įmonėse, įstaigose, ūkiuose. </w:t>
            </w:r>
            <w:r>
              <w:rPr>
                <w:rFonts w:eastAsia="Calibri"/>
                <w:szCs w:val="22"/>
              </w:rPr>
              <w:t xml:space="preserve">Vis </w:t>
            </w:r>
            <w:r w:rsidRPr="00746480">
              <w:rPr>
                <w:rFonts w:eastAsia="Calibri"/>
                <w:szCs w:val="22"/>
              </w:rPr>
              <w:t>daugiau ben</w:t>
            </w:r>
            <w:r>
              <w:rPr>
                <w:rFonts w:eastAsia="Calibri"/>
                <w:szCs w:val="22"/>
              </w:rPr>
              <w:t>drų integruotų edukacinių veiklų</w:t>
            </w:r>
            <w:r w:rsidRPr="007D2063">
              <w:rPr>
                <w:rFonts w:eastAsia="Calibri"/>
                <w:szCs w:val="22"/>
              </w:rPr>
              <w:t xml:space="preserve"> </w:t>
            </w:r>
            <w:r>
              <w:rPr>
                <w:rFonts w:eastAsia="Calibri"/>
                <w:szCs w:val="22"/>
              </w:rPr>
              <w:t>organizuojama</w:t>
            </w:r>
            <w:r w:rsidRPr="007D2063">
              <w:rPr>
                <w:rFonts w:eastAsia="Calibri"/>
                <w:szCs w:val="22"/>
              </w:rPr>
              <w:t xml:space="preserve"> miestelyje kartu su kultūros centru, Jurbarko viešosios bibliotekos</w:t>
            </w:r>
            <w:r>
              <w:rPr>
                <w:rFonts w:eastAsia="Calibri"/>
                <w:szCs w:val="22"/>
              </w:rPr>
              <w:t xml:space="preserve"> Viešvilės filialo biblioteka, Jurbarko visuomenės sveikatos biuru, Viešvilės pasienio užkarda. </w:t>
            </w:r>
          </w:p>
        </w:tc>
      </w:tr>
      <w:tr w:rsidR="0076196C" w:rsidRPr="00CA31BC" w14:paraId="006ED1C1" w14:textId="77777777" w:rsidTr="006D11B7">
        <w:trPr>
          <w:gridAfter w:val="1"/>
          <w:wAfter w:w="235" w:type="dxa"/>
          <w:trHeight w:val="285"/>
        </w:trPr>
        <w:tc>
          <w:tcPr>
            <w:tcW w:w="2835" w:type="dxa"/>
            <w:vMerge/>
            <w:tcBorders>
              <w:left w:val="single" w:sz="4" w:space="0" w:color="auto"/>
              <w:bottom w:val="single" w:sz="4" w:space="0" w:color="auto"/>
              <w:right w:val="single" w:sz="4" w:space="0" w:color="auto"/>
            </w:tcBorders>
          </w:tcPr>
          <w:p w14:paraId="1D57746A" w14:textId="77777777" w:rsidR="0076196C" w:rsidRPr="00CA31BC" w:rsidRDefault="0076196C" w:rsidP="00290330">
            <w:pPr>
              <w:rPr>
                <w:bCs/>
                <w:szCs w:val="24"/>
                <w:lang w:eastAsia="en-US"/>
              </w:rPr>
            </w:pPr>
          </w:p>
        </w:tc>
        <w:tc>
          <w:tcPr>
            <w:tcW w:w="4565" w:type="dxa"/>
            <w:gridSpan w:val="2"/>
            <w:tcBorders>
              <w:top w:val="single" w:sz="4" w:space="0" w:color="auto"/>
              <w:left w:val="single" w:sz="4" w:space="0" w:color="auto"/>
              <w:bottom w:val="single" w:sz="4" w:space="0" w:color="auto"/>
              <w:right w:val="single" w:sz="4" w:space="0" w:color="auto"/>
            </w:tcBorders>
          </w:tcPr>
          <w:p w14:paraId="3F19BF74" w14:textId="77777777" w:rsidR="0076196C" w:rsidRPr="00CA31BC" w:rsidRDefault="0076196C" w:rsidP="00290330">
            <w:pPr>
              <w:jc w:val="both"/>
              <w:rPr>
                <w:szCs w:val="24"/>
                <w:lang w:eastAsia="en-US"/>
              </w:rPr>
            </w:pPr>
            <w:r w:rsidRPr="00CA31BC">
              <w:rPr>
                <w:szCs w:val="24"/>
                <w:lang w:eastAsia="en-US"/>
              </w:rPr>
              <w:t>Kita informacija</w:t>
            </w:r>
          </w:p>
        </w:tc>
        <w:tc>
          <w:tcPr>
            <w:tcW w:w="7241" w:type="dxa"/>
            <w:tcBorders>
              <w:top w:val="single" w:sz="4" w:space="0" w:color="auto"/>
              <w:left w:val="single" w:sz="4" w:space="0" w:color="auto"/>
              <w:bottom w:val="single" w:sz="4" w:space="0" w:color="auto"/>
              <w:right w:val="single" w:sz="4" w:space="0" w:color="auto"/>
            </w:tcBorders>
          </w:tcPr>
          <w:p w14:paraId="59D2A0C7" w14:textId="77777777" w:rsidR="0076196C" w:rsidRPr="00CA31BC" w:rsidRDefault="0076196C" w:rsidP="00290330">
            <w:pPr>
              <w:jc w:val="both"/>
              <w:rPr>
                <w:szCs w:val="24"/>
                <w:lang w:eastAsia="en-US"/>
              </w:rPr>
            </w:pPr>
          </w:p>
        </w:tc>
      </w:tr>
    </w:tbl>
    <w:p w14:paraId="36719C53" w14:textId="77777777" w:rsidR="0076196C" w:rsidRPr="00BC6E41" w:rsidRDefault="0076196C" w:rsidP="0076196C">
      <w:pPr>
        <w:rPr>
          <w:b/>
          <w:bCs/>
          <w:szCs w:val="24"/>
          <w:lang w:eastAsia="en-US"/>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8"/>
        <w:gridCol w:w="4633"/>
        <w:gridCol w:w="3615"/>
        <w:gridCol w:w="3615"/>
      </w:tblGrid>
      <w:tr w:rsidR="0076196C" w:rsidRPr="00CA31BC" w14:paraId="0ABDCAE3" w14:textId="77777777" w:rsidTr="00BB6943">
        <w:trPr>
          <w:trHeight w:val="277"/>
        </w:trPr>
        <w:tc>
          <w:tcPr>
            <w:tcW w:w="2738" w:type="dxa"/>
            <w:vMerge w:val="restart"/>
            <w:tcBorders>
              <w:left w:val="single" w:sz="4" w:space="0" w:color="auto"/>
              <w:right w:val="single" w:sz="4" w:space="0" w:color="auto"/>
            </w:tcBorders>
          </w:tcPr>
          <w:p w14:paraId="3F86F35F" w14:textId="77777777" w:rsidR="0076196C" w:rsidRPr="00CA31BC" w:rsidRDefault="0076196C" w:rsidP="00290330">
            <w:pPr>
              <w:rPr>
                <w:szCs w:val="24"/>
                <w:lang w:eastAsia="en-US"/>
              </w:rPr>
            </w:pPr>
            <w:r w:rsidRPr="00CA31BC">
              <w:rPr>
                <w:szCs w:val="24"/>
                <w:lang w:eastAsia="en-US"/>
              </w:rPr>
              <w:t>Žmogiškieji ištekliai ir socialinė aplinka (pagal 202</w:t>
            </w:r>
            <w:r>
              <w:rPr>
                <w:szCs w:val="24"/>
                <w:lang w:eastAsia="en-US"/>
              </w:rPr>
              <w:t>3</w:t>
            </w:r>
            <w:r w:rsidRPr="00CA31BC">
              <w:rPr>
                <w:szCs w:val="24"/>
                <w:lang w:eastAsia="en-US"/>
              </w:rPr>
              <w:t xml:space="preserve"> m. rugsėjo 1 d. statistiką)</w:t>
            </w:r>
          </w:p>
          <w:p w14:paraId="373352F0" w14:textId="77777777" w:rsidR="0076196C" w:rsidRPr="00CA31BC" w:rsidRDefault="0076196C" w:rsidP="00290330">
            <w:pPr>
              <w:rPr>
                <w:szCs w:val="24"/>
                <w:lang w:eastAsia="en-US"/>
              </w:rPr>
            </w:pPr>
          </w:p>
        </w:tc>
        <w:tc>
          <w:tcPr>
            <w:tcW w:w="4633" w:type="dxa"/>
            <w:tcBorders>
              <w:left w:val="single" w:sz="4" w:space="0" w:color="auto"/>
              <w:bottom w:val="single" w:sz="4" w:space="0" w:color="auto"/>
              <w:right w:val="single" w:sz="4" w:space="0" w:color="auto"/>
            </w:tcBorders>
          </w:tcPr>
          <w:p w14:paraId="47018958" w14:textId="77777777" w:rsidR="0076196C" w:rsidRPr="00CA31BC" w:rsidRDefault="0076196C" w:rsidP="00290330">
            <w:pPr>
              <w:jc w:val="both"/>
              <w:rPr>
                <w:szCs w:val="24"/>
                <w:lang w:eastAsia="en-US"/>
              </w:rPr>
            </w:pPr>
            <w:r w:rsidRPr="00CA31BC">
              <w:rPr>
                <w:szCs w:val="24"/>
                <w:lang w:eastAsia="en-US"/>
              </w:rPr>
              <w:t>Rodiklis:</w:t>
            </w:r>
          </w:p>
        </w:tc>
        <w:tc>
          <w:tcPr>
            <w:tcW w:w="3615" w:type="dxa"/>
            <w:tcBorders>
              <w:left w:val="single" w:sz="4" w:space="0" w:color="auto"/>
              <w:right w:val="single" w:sz="4" w:space="0" w:color="auto"/>
            </w:tcBorders>
          </w:tcPr>
          <w:p w14:paraId="20FECBBD" w14:textId="77777777" w:rsidR="0076196C" w:rsidRPr="00CA31BC" w:rsidRDefault="0076196C" w:rsidP="00290330">
            <w:pPr>
              <w:jc w:val="center"/>
              <w:rPr>
                <w:bCs/>
                <w:szCs w:val="24"/>
                <w:lang w:eastAsia="en-US"/>
              </w:rPr>
            </w:pPr>
            <w:r w:rsidRPr="00CA31BC">
              <w:rPr>
                <w:bCs/>
                <w:szCs w:val="24"/>
                <w:lang w:eastAsia="en-US"/>
              </w:rPr>
              <w:t>202</w:t>
            </w:r>
            <w:r>
              <w:rPr>
                <w:bCs/>
                <w:szCs w:val="24"/>
                <w:lang w:eastAsia="en-US"/>
              </w:rPr>
              <w:t>2</w:t>
            </w:r>
            <w:r w:rsidRPr="00CA31BC">
              <w:rPr>
                <w:bCs/>
                <w:szCs w:val="24"/>
                <w:lang w:eastAsia="en-US"/>
              </w:rPr>
              <w:t xml:space="preserve"> m.</w:t>
            </w:r>
          </w:p>
        </w:tc>
        <w:tc>
          <w:tcPr>
            <w:tcW w:w="3615" w:type="dxa"/>
            <w:tcBorders>
              <w:left w:val="single" w:sz="4" w:space="0" w:color="auto"/>
              <w:right w:val="single" w:sz="4" w:space="0" w:color="auto"/>
            </w:tcBorders>
          </w:tcPr>
          <w:p w14:paraId="69DAD22C" w14:textId="77777777" w:rsidR="0076196C" w:rsidRPr="00CA31BC" w:rsidRDefault="0076196C" w:rsidP="00290330">
            <w:pPr>
              <w:jc w:val="center"/>
              <w:rPr>
                <w:bCs/>
                <w:szCs w:val="24"/>
                <w:lang w:eastAsia="en-US"/>
              </w:rPr>
            </w:pPr>
            <w:r w:rsidRPr="00D15C2C">
              <w:rPr>
                <w:bCs/>
                <w:szCs w:val="24"/>
                <w:lang w:eastAsia="en-US"/>
              </w:rPr>
              <w:t xml:space="preserve">2023 m. </w:t>
            </w:r>
          </w:p>
        </w:tc>
      </w:tr>
      <w:tr w:rsidR="0076196C" w:rsidRPr="00CA31BC" w14:paraId="39A6538A" w14:textId="77777777" w:rsidTr="00BB6943">
        <w:trPr>
          <w:trHeight w:val="277"/>
        </w:trPr>
        <w:tc>
          <w:tcPr>
            <w:tcW w:w="2738" w:type="dxa"/>
            <w:vMerge/>
            <w:tcBorders>
              <w:left w:val="single" w:sz="4" w:space="0" w:color="auto"/>
              <w:right w:val="single" w:sz="4" w:space="0" w:color="auto"/>
            </w:tcBorders>
          </w:tcPr>
          <w:p w14:paraId="2E1D2555" w14:textId="77777777" w:rsidR="0076196C" w:rsidRPr="00CA31BC" w:rsidRDefault="0076196C" w:rsidP="00290330">
            <w:pPr>
              <w:rPr>
                <w:szCs w:val="24"/>
                <w:lang w:eastAsia="en-US"/>
              </w:rPr>
            </w:pPr>
          </w:p>
        </w:tc>
        <w:tc>
          <w:tcPr>
            <w:tcW w:w="4633" w:type="dxa"/>
            <w:tcBorders>
              <w:left w:val="single" w:sz="4" w:space="0" w:color="auto"/>
              <w:bottom w:val="single" w:sz="4" w:space="0" w:color="auto"/>
              <w:right w:val="single" w:sz="4" w:space="0" w:color="auto"/>
            </w:tcBorders>
          </w:tcPr>
          <w:p w14:paraId="2F2DF091" w14:textId="77777777" w:rsidR="0076196C" w:rsidRPr="00CA31BC" w:rsidRDefault="0076196C" w:rsidP="00290330">
            <w:pPr>
              <w:jc w:val="both"/>
              <w:rPr>
                <w:szCs w:val="24"/>
                <w:lang w:eastAsia="en-US"/>
              </w:rPr>
            </w:pPr>
            <w:r w:rsidRPr="00CA31BC">
              <w:rPr>
                <w:szCs w:val="24"/>
                <w:lang w:eastAsia="en-US"/>
              </w:rPr>
              <w:t>Pedagoginių darbuotojų ir etatų skaičius</w:t>
            </w:r>
          </w:p>
        </w:tc>
        <w:tc>
          <w:tcPr>
            <w:tcW w:w="3615" w:type="dxa"/>
            <w:tcBorders>
              <w:left w:val="single" w:sz="4" w:space="0" w:color="auto"/>
              <w:right w:val="single" w:sz="4" w:space="0" w:color="auto"/>
            </w:tcBorders>
          </w:tcPr>
          <w:p w14:paraId="1072B77B" w14:textId="77777777" w:rsidR="0076196C" w:rsidRPr="00CA31BC" w:rsidRDefault="0076196C" w:rsidP="00290330">
            <w:pPr>
              <w:jc w:val="center"/>
              <w:rPr>
                <w:rFonts w:eastAsia="Calibri"/>
                <w:szCs w:val="24"/>
                <w:lang w:eastAsia="en-US"/>
              </w:rPr>
            </w:pPr>
            <w:r>
              <w:rPr>
                <w:rFonts w:eastAsia="Calibri"/>
                <w:szCs w:val="22"/>
              </w:rPr>
              <w:t>23 darbuotojai (14,57 etato)</w:t>
            </w:r>
          </w:p>
        </w:tc>
        <w:tc>
          <w:tcPr>
            <w:tcW w:w="3615" w:type="dxa"/>
            <w:tcBorders>
              <w:left w:val="single" w:sz="4" w:space="0" w:color="auto"/>
              <w:right w:val="single" w:sz="4" w:space="0" w:color="auto"/>
            </w:tcBorders>
          </w:tcPr>
          <w:p w14:paraId="1BF5A421" w14:textId="77777777" w:rsidR="0076196C" w:rsidRPr="00CA31BC" w:rsidRDefault="0076196C" w:rsidP="00290330">
            <w:pPr>
              <w:jc w:val="center"/>
              <w:rPr>
                <w:szCs w:val="24"/>
                <w:lang w:eastAsia="en-US"/>
              </w:rPr>
            </w:pPr>
            <w:r>
              <w:rPr>
                <w:rFonts w:eastAsia="Calibri"/>
                <w:szCs w:val="22"/>
              </w:rPr>
              <w:t>24 darbuotojai (15,39 etato)</w:t>
            </w:r>
          </w:p>
        </w:tc>
      </w:tr>
      <w:tr w:rsidR="0076196C" w:rsidRPr="00CA31BC" w14:paraId="7F577F9C" w14:textId="77777777" w:rsidTr="00BB6943">
        <w:trPr>
          <w:trHeight w:val="308"/>
        </w:trPr>
        <w:tc>
          <w:tcPr>
            <w:tcW w:w="2738" w:type="dxa"/>
            <w:vMerge/>
            <w:tcBorders>
              <w:left w:val="single" w:sz="4" w:space="0" w:color="auto"/>
              <w:right w:val="single" w:sz="4" w:space="0" w:color="auto"/>
            </w:tcBorders>
          </w:tcPr>
          <w:p w14:paraId="3CDFAEE6"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6C457841" w14:textId="77777777" w:rsidR="0076196C" w:rsidRPr="00CA31BC" w:rsidRDefault="0076196C" w:rsidP="00290330">
            <w:pPr>
              <w:jc w:val="both"/>
              <w:rPr>
                <w:szCs w:val="24"/>
                <w:lang w:eastAsia="en-US"/>
              </w:rPr>
            </w:pPr>
            <w:r w:rsidRPr="00CA31BC">
              <w:rPr>
                <w:szCs w:val="24"/>
                <w:lang w:eastAsia="en-US"/>
              </w:rPr>
              <w:t>Aptarnaujančio personalo ir etatų skaičius</w:t>
            </w:r>
          </w:p>
        </w:tc>
        <w:tc>
          <w:tcPr>
            <w:tcW w:w="3615" w:type="dxa"/>
            <w:tcBorders>
              <w:left w:val="single" w:sz="4" w:space="0" w:color="auto"/>
              <w:right w:val="single" w:sz="4" w:space="0" w:color="auto"/>
            </w:tcBorders>
          </w:tcPr>
          <w:p w14:paraId="4023597D" w14:textId="77777777" w:rsidR="0076196C" w:rsidRPr="00CA31BC" w:rsidRDefault="0076196C" w:rsidP="00290330">
            <w:pPr>
              <w:jc w:val="center"/>
              <w:rPr>
                <w:rFonts w:eastAsia="Calibri"/>
                <w:szCs w:val="24"/>
                <w:lang w:eastAsia="en-US"/>
              </w:rPr>
            </w:pPr>
            <w:r>
              <w:rPr>
                <w:rFonts w:eastAsia="Calibri"/>
                <w:szCs w:val="22"/>
              </w:rPr>
              <w:t>21 darbuotojas (20,6 etato)</w:t>
            </w:r>
          </w:p>
        </w:tc>
        <w:tc>
          <w:tcPr>
            <w:tcW w:w="3615" w:type="dxa"/>
            <w:tcBorders>
              <w:left w:val="single" w:sz="4" w:space="0" w:color="auto"/>
              <w:right w:val="single" w:sz="4" w:space="0" w:color="auto"/>
            </w:tcBorders>
          </w:tcPr>
          <w:p w14:paraId="272CDE43" w14:textId="77777777" w:rsidR="0076196C" w:rsidRPr="00CA31BC" w:rsidRDefault="0076196C" w:rsidP="00290330">
            <w:pPr>
              <w:jc w:val="center"/>
              <w:rPr>
                <w:szCs w:val="24"/>
                <w:lang w:eastAsia="en-US"/>
              </w:rPr>
            </w:pPr>
            <w:r>
              <w:rPr>
                <w:szCs w:val="24"/>
                <w:lang w:eastAsia="en-US"/>
              </w:rPr>
              <w:t>22 darbuotojai (20,1 etato)</w:t>
            </w:r>
          </w:p>
        </w:tc>
      </w:tr>
      <w:tr w:rsidR="0076196C" w:rsidRPr="00CA31BC" w14:paraId="471E200F" w14:textId="77777777" w:rsidTr="00BB6943">
        <w:trPr>
          <w:trHeight w:val="280"/>
        </w:trPr>
        <w:tc>
          <w:tcPr>
            <w:tcW w:w="2738" w:type="dxa"/>
            <w:vMerge/>
            <w:tcBorders>
              <w:left w:val="single" w:sz="4" w:space="0" w:color="auto"/>
              <w:right w:val="single" w:sz="4" w:space="0" w:color="auto"/>
            </w:tcBorders>
          </w:tcPr>
          <w:p w14:paraId="5AC78A9E"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341DAE7C" w14:textId="77777777" w:rsidR="0076196C" w:rsidRPr="00CA31BC" w:rsidRDefault="0076196C" w:rsidP="00290330">
            <w:pPr>
              <w:jc w:val="both"/>
              <w:rPr>
                <w:szCs w:val="24"/>
                <w:lang w:eastAsia="en-US"/>
              </w:rPr>
            </w:pPr>
            <w:r w:rsidRPr="00CA31BC">
              <w:rPr>
                <w:szCs w:val="24"/>
                <w:lang w:eastAsia="en-US"/>
              </w:rPr>
              <w:t>Mokinių skaičius</w:t>
            </w:r>
          </w:p>
        </w:tc>
        <w:tc>
          <w:tcPr>
            <w:tcW w:w="3615" w:type="dxa"/>
            <w:tcBorders>
              <w:left w:val="single" w:sz="4" w:space="0" w:color="auto"/>
              <w:right w:val="single" w:sz="4" w:space="0" w:color="auto"/>
            </w:tcBorders>
          </w:tcPr>
          <w:p w14:paraId="71BB91C7" w14:textId="77777777" w:rsidR="0076196C" w:rsidRPr="00CA31BC" w:rsidRDefault="0076196C" w:rsidP="00290330">
            <w:pPr>
              <w:jc w:val="center"/>
              <w:rPr>
                <w:rFonts w:eastAsia="Calibri"/>
                <w:szCs w:val="24"/>
                <w:lang w:eastAsia="en-US"/>
              </w:rPr>
            </w:pPr>
            <w:r>
              <w:rPr>
                <w:rFonts w:eastAsia="Calibri"/>
                <w:szCs w:val="22"/>
              </w:rPr>
              <w:t>62</w:t>
            </w:r>
          </w:p>
        </w:tc>
        <w:tc>
          <w:tcPr>
            <w:tcW w:w="3615" w:type="dxa"/>
            <w:tcBorders>
              <w:left w:val="single" w:sz="4" w:space="0" w:color="auto"/>
              <w:right w:val="single" w:sz="4" w:space="0" w:color="auto"/>
            </w:tcBorders>
          </w:tcPr>
          <w:p w14:paraId="43D46B1D" w14:textId="77777777" w:rsidR="0076196C" w:rsidRPr="00CA31BC" w:rsidRDefault="0076196C" w:rsidP="00290330">
            <w:pPr>
              <w:jc w:val="center"/>
              <w:rPr>
                <w:szCs w:val="24"/>
                <w:lang w:eastAsia="en-US"/>
              </w:rPr>
            </w:pPr>
            <w:r>
              <w:rPr>
                <w:rFonts w:eastAsia="Calibri"/>
                <w:szCs w:val="22"/>
              </w:rPr>
              <w:t>58</w:t>
            </w:r>
          </w:p>
        </w:tc>
      </w:tr>
      <w:tr w:rsidR="0076196C" w:rsidRPr="00CA31BC" w14:paraId="667FC48A" w14:textId="77777777" w:rsidTr="00BB6943">
        <w:trPr>
          <w:trHeight w:val="280"/>
        </w:trPr>
        <w:tc>
          <w:tcPr>
            <w:tcW w:w="2738" w:type="dxa"/>
            <w:vMerge/>
            <w:tcBorders>
              <w:left w:val="single" w:sz="4" w:space="0" w:color="auto"/>
              <w:right w:val="single" w:sz="4" w:space="0" w:color="auto"/>
            </w:tcBorders>
          </w:tcPr>
          <w:p w14:paraId="69C0C832"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23CD23D2" w14:textId="77777777" w:rsidR="0076196C" w:rsidRPr="00CA31BC" w:rsidRDefault="0076196C" w:rsidP="00290330">
            <w:pPr>
              <w:jc w:val="both"/>
              <w:rPr>
                <w:szCs w:val="24"/>
                <w:lang w:eastAsia="en-US"/>
              </w:rPr>
            </w:pPr>
            <w:r w:rsidRPr="00CA31BC">
              <w:rPr>
                <w:szCs w:val="24"/>
                <w:lang w:eastAsia="en-US"/>
              </w:rPr>
              <w:t>Ikimokyklinukų skaičius</w:t>
            </w:r>
          </w:p>
        </w:tc>
        <w:tc>
          <w:tcPr>
            <w:tcW w:w="3615" w:type="dxa"/>
            <w:tcBorders>
              <w:left w:val="single" w:sz="4" w:space="0" w:color="auto"/>
              <w:right w:val="single" w:sz="4" w:space="0" w:color="auto"/>
            </w:tcBorders>
          </w:tcPr>
          <w:p w14:paraId="0FE3FA38" w14:textId="77777777" w:rsidR="0076196C" w:rsidRPr="00CA31BC" w:rsidRDefault="0076196C" w:rsidP="00290330">
            <w:pPr>
              <w:jc w:val="center"/>
              <w:rPr>
                <w:rFonts w:eastAsia="Calibri"/>
                <w:szCs w:val="24"/>
                <w:lang w:eastAsia="en-US"/>
              </w:rPr>
            </w:pPr>
            <w:r>
              <w:rPr>
                <w:rFonts w:eastAsia="Calibri"/>
                <w:szCs w:val="22"/>
              </w:rPr>
              <w:t>18</w:t>
            </w:r>
          </w:p>
        </w:tc>
        <w:tc>
          <w:tcPr>
            <w:tcW w:w="3615" w:type="dxa"/>
            <w:tcBorders>
              <w:left w:val="single" w:sz="4" w:space="0" w:color="auto"/>
              <w:right w:val="single" w:sz="4" w:space="0" w:color="auto"/>
            </w:tcBorders>
          </w:tcPr>
          <w:p w14:paraId="38030266" w14:textId="77777777" w:rsidR="0076196C" w:rsidRPr="00CA31BC" w:rsidRDefault="0076196C" w:rsidP="00290330">
            <w:pPr>
              <w:jc w:val="center"/>
              <w:rPr>
                <w:szCs w:val="24"/>
                <w:lang w:eastAsia="en-US"/>
              </w:rPr>
            </w:pPr>
            <w:r>
              <w:rPr>
                <w:rFonts w:eastAsia="Calibri"/>
                <w:szCs w:val="22"/>
              </w:rPr>
              <w:t>24</w:t>
            </w:r>
          </w:p>
        </w:tc>
      </w:tr>
      <w:tr w:rsidR="0076196C" w:rsidRPr="00CA31BC" w14:paraId="06C9904A" w14:textId="77777777" w:rsidTr="00BB6943">
        <w:trPr>
          <w:trHeight w:val="280"/>
        </w:trPr>
        <w:tc>
          <w:tcPr>
            <w:tcW w:w="2738" w:type="dxa"/>
            <w:vMerge/>
            <w:tcBorders>
              <w:left w:val="single" w:sz="4" w:space="0" w:color="auto"/>
              <w:right w:val="single" w:sz="4" w:space="0" w:color="auto"/>
            </w:tcBorders>
          </w:tcPr>
          <w:p w14:paraId="4EA3D8E5"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7EC49F35" w14:textId="77777777" w:rsidR="0076196C" w:rsidRPr="00CA31BC" w:rsidRDefault="0076196C" w:rsidP="00290330">
            <w:pPr>
              <w:jc w:val="both"/>
              <w:rPr>
                <w:szCs w:val="24"/>
                <w:lang w:eastAsia="en-US"/>
              </w:rPr>
            </w:pPr>
            <w:proofErr w:type="spellStart"/>
            <w:r w:rsidRPr="00CA31BC">
              <w:rPr>
                <w:szCs w:val="24"/>
                <w:lang w:eastAsia="en-US"/>
              </w:rPr>
              <w:t>Priešmokyklinukų</w:t>
            </w:r>
            <w:proofErr w:type="spellEnd"/>
            <w:r w:rsidRPr="00CA31BC">
              <w:rPr>
                <w:szCs w:val="24"/>
                <w:lang w:eastAsia="en-US"/>
              </w:rPr>
              <w:t xml:space="preserve"> skaičius</w:t>
            </w:r>
          </w:p>
        </w:tc>
        <w:tc>
          <w:tcPr>
            <w:tcW w:w="3615" w:type="dxa"/>
            <w:tcBorders>
              <w:left w:val="single" w:sz="4" w:space="0" w:color="auto"/>
              <w:right w:val="single" w:sz="4" w:space="0" w:color="auto"/>
            </w:tcBorders>
          </w:tcPr>
          <w:p w14:paraId="581CA22C" w14:textId="77777777" w:rsidR="0076196C" w:rsidRPr="00CA31BC" w:rsidRDefault="0076196C" w:rsidP="00290330">
            <w:pPr>
              <w:jc w:val="center"/>
              <w:rPr>
                <w:rFonts w:eastAsia="Calibri"/>
                <w:szCs w:val="24"/>
                <w:lang w:eastAsia="en-US"/>
              </w:rPr>
            </w:pPr>
            <w:r>
              <w:rPr>
                <w:rFonts w:eastAsia="Calibri"/>
                <w:szCs w:val="22"/>
              </w:rPr>
              <w:t>6</w:t>
            </w:r>
          </w:p>
        </w:tc>
        <w:tc>
          <w:tcPr>
            <w:tcW w:w="3615" w:type="dxa"/>
            <w:tcBorders>
              <w:left w:val="single" w:sz="4" w:space="0" w:color="auto"/>
              <w:right w:val="single" w:sz="4" w:space="0" w:color="auto"/>
            </w:tcBorders>
          </w:tcPr>
          <w:p w14:paraId="5D865DCE" w14:textId="77777777" w:rsidR="0076196C" w:rsidRPr="00CA31BC" w:rsidRDefault="0076196C" w:rsidP="00290330">
            <w:pPr>
              <w:jc w:val="center"/>
              <w:rPr>
                <w:szCs w:val="24"/>
                <w:lang w:eastAsia="en-US"/>
              </w:rPr>
            </w:pPr>
            <w:r>
              <w:rPr>
                <w:rFonts w:eastAsia="Calibri"/>
                <w:szCs w:val="22"/>
              </w:rPr>
              <w:t>6</w:t>
            </w:r>
          </w:p>
        </w:tc>
      </w:tr>
      <w:tr w:rsidR="00121A4A" w:rsidRPr="00CA31BC" w14:paraId="579F04EB" w14:textId="77777777" w:rsidTr="00BB6943">
        <w:trPr>
          <w:trHeight w:val="280"/>
        </w:trPr>
        <w:tc>
          <w:tcPr>
            <w:tcW w:w="2738" w:type="dxa"/>
            <w:vMerge/>
            <w:tcBorders>
              <w:left w:val="single" w:sz="4" w:space="0" w:color="auto"/>
              <w:right w:val="single" w:sz="4" w:space="0" w:color="auto"/>
            </w:tcBorders>
          </w:tcPr>
          <w:p w14:paraId="7DB1224C" w14:textId="77777777" w:rsidR="00121A4A" w:rsidRPr="00CA31BC" w:rsidRDefault="00121A4A"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0F7DBF63" w14:textId="77777777" w:rsidR="00121A4A" w:rsidRPr="00CA31BC" w:rsidRDefault="00121A4A" w:rsidP="00290330">
            <w:pPr>
              <w:jc w:val="both"/>
              <w:rPr>
                <w:szCs w:val="24"/>
                <w:lang w:eastAsia="en-US"/>
              </w:rPr>
            </w:pPr>
            <w:r w:rsidRPr="00CA31BC">
              <w:rPr>
                <w:szCs w:val="24"/>
                <w:lang w:eastAsia="en-US"/>
              </w:rPr>
              <w:t>Bendras ugdomų ir mokomų asmenų skaičius</w:t>
            </w:r>
          </w:p>
        </w:tc>
        <w:tc>
          <w:tcPr>
            <w:tcW w:w="3615" w:type="dxa"/>
            <w:tcBorders>
              <w:left w:val="single" w:sz="4" w:space="0" w:color="auto"/>
              <w:right w:val="single" w:sz="4" w:space="0" w:color="auto"/>
            </w:tcBorders>
          </w:tcPr>
          <w:p w14:paraId="66240384" w14:textId="77777777" w:rsidR="00121A4A" w:rsidRDefault="00121A4A" w:rsidP="00290330">
            <w:pPr>
              <w:jc w:val="center"/>
              <w:rPr>
                <w:rFonts w:eastAsia="Calibri"/>
                <w:szCs w:val="22"/>
              </w:rPr>
            </w:pPr>
            <w:r>
              <w:rPr>
                <w:rFonts w:eastAsia="Calibri"/>
                <w:szCs w:val="22"/>
              </w:rPr>
              <w:t>86</w:t>
            </w:r>
          </w:p>
        </w:tc>
        <w:tc>
          <w:tcPr>
            <w:tcW w:w="3615" w:type="dxa"/>
            <w:tcBorders>
              <w:left w:val="single" w:sz="4" w:space="0" w:color="auto"/>
              <w:right w:val="single" w:sz="4" w:space="0" w:color="auto"/>
            </w:tcBorders>
          </w:tcPr>
          <w:p w14:paraId="0EA7D4E5" w14:textId="77777777" w:rsidR="00121A4A" w:rsidRDefault="00121A4A" w:rsidP="00290330">
            <w:pPr>
              <w:jc w:val="center"/>
              <w:rPr>
                <w:rFonts w:eastAsia="Calibri"/>
                <w:szCs w:val="22"/>
              </w:rPr>
            </w:pPr>
            <w:r>
              <w:rPr>
                <w:rFonts w:eastAsia="Calibri"/>
                <w:szCs w:val="22"/>
              </w:rPr>
              <w:t>88</w:t>
            </w:r>
          </w:p>
        </w:tc>
      </w:tr>
      <w:tr w:rsidR="0076196C" w:rsidRPr="00CA31BC" w14:paraId="71357DFD" w14:textId="77777777" w:rsidTr="00BB6943">
        <w:trPr>
          <w:trHeight w:val="552"/>
        </w:trPr>
        <w:tc>
          <w:tcPr>
            <w:tcW w:w="2738" w:type="dxa"/>
            <w:vMerge/>
            <w:tcBorders>
              <w:left w:val="single" w:sz="4" w:space="0" w:color="auto"/>
              <w:right w:val="single" w:sz="4" w:space="0" w:color="auto"/>
            </w:tcBorders>
          </w:tcPr>
          <w:p w14:paraId="0A8CA043"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4FECEB9A" w14:textId="77777777" w:rsidR="0076196C" w:rsidRPr="00CA31BC" w:rsidRDefault="0076196C" w:rsidP="00290330">
            <w:pPr>
              <w:rPr>
                <w:szCs w:val="24"/>
                <w:lang w:eastAsia="en-US"/>
              </w:rPr>
            </w:pPr>
            <w:r w:rsidRPr="00CA31BC">
              <w:rPr>
                <w:szCs w:val="24"/>
                <w:lang w:eastAsia="en-US"/>
              </w:rPr>
              <w:t xml:space="preserve">Pavežamų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615" w:type="dxa"/>
            <w:tcBorders>
              <w:left w:val="single" w:sz="4" w:space="0" w:color="auto"/>
              <w:right w:val="single" w:sz="4" w:space="0" w:color="auto"/>
            </w:tcBorders>
            <w:vAlign w:val="center"/>
          </w:tcPr>
          <w:p w14:paraId="4F1754CD" w14:textId="77777777" w:rsidR="0076196C" w:rsidRPr="00D15C2C" w:rsidRDefault="0076196C" w:rsidP="00290330">
            <w:pPr>
              <w:pStyle w:val="NoSpacing1"/>
              <w:jc w:val="center"/>
              <w:rPr>
                <w:rFonts w:ascii="Times New Roman" w:hAnsi="Times New Roman"/>
                <w:sz w:val="24"/>
                <w:szCs w:val="24"/>
              </w:rPr>
            </w:pPr>
            <w:r w:rsidRPr="00D15C2C">
              <w:rPr>
                <w:rFonts w:ascii="Times New Roman" w:eastAsia="Calibri" w:hAnsi="Times New Roman"/>
                <w:sz w:val="24"/>
                <w:szCs w:val="24"/>
              </w:rPr>
              <w:t>6 (7 proc.)</w:t>
            </w:r>
          </w:p>
        </w:tc>
        <w:tc>
          <w:tcPr>
            <w:tcW w:w="3615" w:type="dxa"/>
            <w:tcBorders>
              <w:left w:val="single" w:sz="4" w:space="0" w:color="auto"/>
              <w:right w:val="single" w:sz="4" w:space="0" w:color="auto"/>
            </w:tcBorders>
            <w:vAlign w:val="center"/>
          </w:tcPr>
          <w:p w14:paraId="4D1D1EDA" w14:textId="77777777" w:rsidR="0076196C" w:rsidRPr="00CA31BC" w:rsidRDefault="0076196C" w:rsidP="00290330">
            <w:pPr>
              <w:jc w:val="center"/>
              <w:rPr>
                <w:szCs w:val="24"/>
              </w:rPr>
            </w:pPr>
            <w:r>
              <w:rPr>
                <w:szCs w:val="24"/>
              </w:rPr>
              <w:t>8 (9 proc.)</w:t>
            </w:r>
          </w:p>
        </w:tc>
      </w:tr>
      <w:tr w:rsidR="0076196C" w:rsidRPr="00CA31BC" w14:paraId="7FE517DE" w14:textId="77777777" w:rsidTr="00BB6943">
        <w:trPr>
          <w:trHeight w:val="552"/>
        </w:trPr>
        <w:tc>
          <w:tcPr>
            <w:tcW w:w="2738" w:type="dxa"/>
            <w:vMerge/>
            <w:tcBorders>
              <w:left w:val="single" w:sz="4" w:space="0" w:color="auto"/>
              <w:bottom w:val="single" w:sz="4" w:space="0" w:color="auto"/>
              <w:right w:val="single" w:sz="4" w:space="0" w:color="auto"/>
            </w:tcBorders>
          </w:tcPr>
          <w:p w14:paraId="2C2F4939" w14:textId="77777777" w:rsidR="0076196C" w:rsidRPr="00CA31BC" w:rsidRDefault="0076196C" w:rsidP="00290330">
            <w:pPr>
              <w:rPr>
                <w:szCs w:val="24"/>
                <w:lang w:eastAsia="en-US"/>
              </w:rPr>
            </w:pPr>
          </w:p>
        </w:tc>
        <w:tc>
          <w:tcPr>
            <w:tcW w:w="4633" w:type="dxa"/>
            <w:tcBorders>
              <w:top w:val="single" w:sz="4" w:space="0" w:color="auto"/>
              <w:left w:val="single" w:sz="4" w:space="0" w:color="auto"/>
              <w:bottom w:val="single" w:sz="4" w:space="0" w:color="auto"/>
              <w:right w:val="single" w:sz="4" w:space="0" w:color="auto"/>
            </w:tcBorders>
          </w:tcPr>
          <w:p w14:paraId="2D18E25B" w14:textId="77777777" w:rsidR="0076196C" w:rsidRPr="00CA31BC" w:rsidRDefault="0076196C" w:rsidP="00290330">
            <w:pPr>
              <w:rPr>
                <w:szCs w:val="24"/>
                <w:lang w:eastAsia="en-US"/>
              </w:rPr>
            </w:pPr>
            <w:r w:rsidRPr="00CA31BC">
              <w:rPr>
                <w:szCs w:val="24"/>
                <w:lang w:eastAsia="en-US"/>
              </w:rPr>
              <w:t xml:space="preserve">Nemokamai maitinamų asmenų skaičius ir procentas nuo visų mokinių ir </w:t>
            </w:r>
            <w:proofErr w:type="spellStart"/>
            <w:r w:rsidRPr="00CA31BC">
              <w:rPr>
                <w:szCs w:val="24"/>
                <w:lang w:eastAsia="en-US"/>
              </w:rPr>
              <w:t>priešmokyklinukų</w:t>
            </w:r>
            <w:proofErr w:type="spellEnd"/>
            <w:r w:rsidRPr="00CA31BC">
              <w:rPr>
                <w:szCs w:val="24"/>
                <w:lang w:eastAsia="en-US"/>
              </w:rPr>
              <w:t xml:space="preserve"> skaičiaus</w:t>
            </w:r>
          </w:p>
        </w:tc>
        <w:tc>
          <w:tcPr>
            <w:tcW w:w="3615" w:type="dxa"/>
            <w:tcBorders>
              <w:left w:val="single" w:sz="4" w:space="0" w:color="auto"/>
              <w:bottom w:val="single" w:sz="4" w:space="0" w:color="auto"/>
              <w:right w:val="single" w:sz="4" w:space="0" w:color="auto"/>
            </w:tcBorders>
            <w:vAlign w:val="center"/>
          </w:tcPr>
          <w:p w14:paraId="2EB07DF3" w14:textId="77777777" w:rsidR="0076196C" w:rsidRPr="00D15C2C" w:rsidRDefault="0076196C" w:rsidP="00290330">
            <w:pPr>
              <w:pStyle w:val="NoSpacing1"/>
              <w:jc w:val="center"/>
              <w:rPr>
                <w:rFonts w:ascii="Times New Roman" w:hAnsi="Times New Roman"/>
                <w:color w:val="000000"/>
                <w:sz w:val="24"/>
                <w:szCs w:val="24"/>
              </w:rPr>
            </w:pPr>
            <w:r>
              <w:rPr>
                <w:rFonts w:ascii="Times New Roman" w:eastAsia="Calibri" w:hAnsi="Times New Roman"/>
                <w:sz w:val="24"/>
                <w:szCs w:val="24"/>
              </w:rPr>
              <w:t>34 (39</w:t>
            </w:r>
            <w:r w:rsidRPr="00D15C2C">
              <w:rPr>
                <w:rFonts w:ascii="Times New Roman" w:eastAsia="Calibri" w:hAnsi="Times New Roman"/>
                <w:sz w:val="24"/>
                <w:szCs w:val="24"/>
              </w:rPr>
              <w:t xml:space="preserve"> proc.)</w:t>
            </w:r>
          </w:p>
        </w:tc>
        <w:tc>
          <w:tcPr>
            <w:tcW w:w="3615" w:type="dxa"/>
            <w:tcBorders>
              <w:left w:val="single" w:sz="4" w:space="0" w:color="auto"/>
              <w:bottom w:val="single" w:sz="4" w:space="0" w:color="auto"/>
              <w:right w:val="single" w:sz="4" w:space="0" w:color="auto"/>
            </w:tcBorders>
            <w:vAlign w:val="center"/>
          </w:tcPr>
          <w:p w14:paraId="43DC924B" w14:textId="77777777" w:rsidR="0076196C" w:rsidRPr="00CA31BC" w:rsidRDefault="0076196C" w:rsidP="00290330">
            <w:pPr>
              <w:jc w:val="center"/>
              <w:rPr>
                <w:szCs w:val="24"/>
              </w:rPr>
            </w:pPr>
            <w:r>
              <w:rPr>
                <w:szCs w:val="24"/>
              </w:rPr>
              <w:t>36 (40 proc.)</w:t>
            </w:r>
          </w:p>
        </w:tc>
      </w:tr>
    </w:tbl>
    <w:p w14:paraId="12D18A93" w14:textId="77777777" w:rsidR="006D11B7" w:rsidRDefault="006D11B7" w:rsidP="00AA2084">
      <w:pPr>
        <w:suppressAutoHyphens/>
        <w:spacing w:before="120"/>
        <w:jc w:val="center"/>
        <w:textAlignment w:val="baseline"/>
        <w:rPr>
          <w:rFonts w:eastAsia="Calibri"/>
          <w:b/>
          <w:bCs/>
          <w:szCs w:val="24"/>
        </w:rPr>
      </w:pPr>
    </w:p>
    <w:p w14:paraId="0BBDE4AD" w14:textId="77777777" w:rsidR="0076196C" w:rsidRDefault="0076196C" w:rsidP="00AA2084">
      <w:pPr>
        <w:suppressAutoHyphens/>
        <w:spacing w:before="120"/>
        <w:jc w:val="center"/>
        <w:textAlignment w:val="baseline"/>
        <w:rPr>
          <w:rFonts w:eastAsia="Calibri"/>
          <w:b/>
          <w:bCs/>
          <w:strike/>
          <w:szCs w:val="24"/>
        </w:rPr>
      </w:pPr>
      <w:r>
        <w:rPr>
          <w:rFonts w:eastAsia="Calibri"/>
          <w:b/>
          <w:bCs/>
          <w:szCs w:val="24"/>
        </w:rPr>
        <w:t>II SKYRIUS</w:t>
      </w:r>
    </w:p>
    <w:p w14:paraId="0EFA67F7" w14:textId="77777777" w:rsidR="0076196C" w:rsidRDefault="0076196C" w:rsidP="00AA2084">
      <w:pPr>
        <w:suppressAutoHyphens/>
        <w:spacing w:after="120"/>
        <w:jc w:val="center"/>
        <w:textAlignment w:val="baseline"/>
        <w:rPr>
          <w:rFonts w:eastAsia="Calibri"/>
          <w:b/>
          <w:color w:val="808080"/>
          <w:sz w:val="20"/>
          <w:szCs w:val="24"/>
        </w:rPr>
      </w:pPr>
      <w:r>
        <w:rPr>
          <w:rFonts w:eastAsia="Calibri"/>
          <w:b/>
          <w:bCs/>
          <w:szCs w:val="24"/>
        </w:rPr>
        <w:t>ĮSTAIGOS PLANŲ IR PROGRAMŲ ĮGYVENDINIMAS</w:t>
      </w:r>
    </w:p>
    <w:p w14:paraId="37731B2A" w14:textId="77777777" w:rsidR="0076196C" w:rsidRPr="001D704B" w:rsidRDefault="0076196C" w:rsidP="0076196C">
      <w:pPr>
        <w:ind w:firstLine="709"/>
        <w:jc w:val="both"/>
        <w:rPr>
          <w:rFonts w:eastAsia="Calibri"/>
          <w:bCs/>
          <w:iCs/>
          <w:szCs w:val="24"/>
        </w:rPr>
      </w:pPr>
      <w:r w:rsidRPr="001D704B">
        <w:rPr>
          <w:rFonts w:eastAsia="Calibri"/>
          <w:bCs/>
          <w:iCs/>
          <w:szCs w:val="24"/>
        </w:rPr>
        <w:t>Pamokose ir toliau tikslingai naudotos pagal projektus „Mokyklų aprūpinimas gamtos ir technologinių mokslų priemonėmis“ bei „Kokybės krepšelis“ gautos mokymo priemonės, mokiniai žymiai daugiau laiko mokėsi tyrinėdami. Ugdomosios veiklos labiau siejamos su praktine veikla netradicinėse erdvėse, išvažiuojamosiose pamokose. Mokytojai vykdė gerosios patirties sklaidą apie inovatyvių metodų taikymą pamokose</w:t>
      </w:r>
      <w:r w:rsidR="00AA2084">
        <w:rPr>
          <w:rFonts w:eastAsia="Calibri"/>
          <w:bCs/>
          <w:iCs/>
          <w:szCs w:val="24"/>
        </w:rPr>
        <w:t>,</w:t>
      </w:r>
      <w:r w:rsidRPr="001D704B">
        <w:rPr>
          <w:rFonts w:eastAsia="Calibri"/>
          <w:bCs/>
          <w:iCs/>
          <w:szCs w:val="24"/>
        </w:rPr>
        <w:t xml:space="preserve"> tobulino bendrąsias ir dalykines kompetencijas, dalyvavo (UTA) atnaujinto ugdymo turinio organizavimo mokymuose. Nuo 2023 m. </w:t>
      </w:r>
      <w:r w:rsidR="00AA2084">
        <w:rPr>
          <w:rFonts w:eastAsia="Calibri"/>
          <w:bCs/>
          <w:iCs/>
          <w:szCs w:val="24"/>
        </w:rPr>
        <w:t xml:space="preserve">rugsėjo 1 d. </w:t>
      </w:r>
      <w:r w:rsidRPr="001D704B">
        <w:rPr>
          <w:rFonts w:eastAsia="Calibri"/>
          <w:bCs/>
          <w:iCs/>
          <w:szCs w:val="24"/>
        </w:rPr>
        <w:t>sėkmingai pradėta dirbti su atnaujintomis ugdymo programomis priešmokyklinio ugdymo grupėje, 1, 3, 5, 9 klasėse.</w:t>
      </w:r>
    </w:p>
    <w:p w14:paraId="55E5E915" w14:textId="77777777" w:rsidR="0076196C" w:rsidRPr="001D704B" w:rsidRDefault="0076196C" w:rsidP="0076196C">
      <w:pPr>
        <w:ind w:firstLine="709"/>
        <w:jc w:val="both"/>
        <w:rPr>
          <w:rFonts w:eastAsia="Calibri"/>
          <w:bCs/>
          <w:iCs/>
          <w:szCs w:val="24"/>
        </w:rPr>
      </w:pPr>
      <w:r w:rsidRPr="001D704B">
        <w:rPr>
          <w:rFonts w:eastAsia="Calibri"/>
          <w:bCs/>
          <w:iCs/>
          <w:szCs w:val="24"/>
        </w:rPr>
        <w:t>Siekiant aktyvinti tėvų ir mokinių atsakomybę už mokymąsi buvo taikomas „trikampio“ ir „keturkampio“ metodai problemoms dėl mokymosi ar elgesio koregavimo.</w:t>
      </w:r>
    </w:p>
    <w:p w14:paraId="702BA7C3" w14:textId="77777777" w:rsidR="0076196C" w:rsidRPr="001D704B" w:rsidRDefault="0076196C" w:rsidP="0076196C">
      <w:pPr>
        <w:ind w:firstLine="709"/>
        <w:jc w:val="both"/>
        <w:rPr>
          <w:rFonts w:eastAsia="Calibri"/>
          <w:bCs/>
          <w:iCs/>
          <w:szCs w:val="24"/>
        </w:rPr>
      </w:pPr>
      <w:r w:rsidRPr="001D704B">
        <w:rPr>
          <w:rFonts w:eastAsia="Calibri"/>
          <w:bCs/>
          <w:iCs/>
          <w:szCs w:val="24"/>
        </w:rPr>
        <w:t xml:space="preserve">Mokyklos mokiniai, paskatinti mokytojų, sėkmingai dalyvauja regioniniuose ir respublikiniuose renginiuose, konkursuose. </w:t>
      </w:r>
    </w:p>
    <w:p w14:paraId="55CFDB93" w14:textId="77777777" w:rsidR="0076196C" w:rsidRDefault="0076196C" w:rsidP="0076196C">
      <w:pPr>
        <w:ind w:firstLine="709"/>
        <w:jc w:val="both"/>
        <w:rPr>
          <w:rFonts w:eastAsia="Calibri"/>
          <w:bCs/>
          <w:iCs/>
          <w:szCs w:val="24"/>
        </w:rPr>
      </w:pPr>
      <w:r>
        <w:rPr>
          <w:rFonts w:eastAsia="Calibri"/>
          <w:bCs/>
          <w:iCs/>
          <w:szCs w:val="24"/>
        </w:rPr>
        <w:t xml:space="preserve">Aktyviai veikia Skautų ir Jaunųjų miško bičiulių organizacijos. Jos dalyvauja tarptautiniuose, respublikiniuose, rajoniniuose projektuose ir renginiuose, organizuoja patys: Skautų stovykla Mociškiuose „Spindulys begalinės šviesos“, </w:t>
      </w:r>
      <w:proofErr w:type="spellStart"/>
      <w:r>
        <w:rPr>
          <w:rFonts w:eastAsia="Calibri"/>
          <w:bCs/>
          <w:iCs/>
          <w:szCs w:val="24"/>
        </w:rPr>
        <w:t>Karšuvos</w:t>
      </w:r>
      <w:proofErr w:type="spellEnd"/>
      <w:r>
        <w:rPr>
          <w:rFonts w:eastAsia="Calibri"/>
          <w:bCs/>
          <w:iCs/>
          <w:szCs w:val="24"/>
        </w:rPr>
        <w:t xml:space="preserve"> draugovės skautų sueiga „Draugystės mazgai“, Tauragės krašto skautų stovyklavimo sezono uždarymas „Pasaka be galo“. Dalyvavo akcijoje „Pagamink inkilą sugrįžtančiam paukščiui“ (inkilų gaminimas ir kėlimas); išvyka į mišką „Kai baubia elniai“ (pasiklausyti baubiančių elnių); Žemės dienos minėjimas.</w:t>
      </w:r>
    </w:p>
    <w:p w14:paraId="22277A6F" w14:textId="77777777" w:rsidR="0076196C" w:rsidRPr="00BE37BE" w:rsidRDefault="0076196C" w:rsidP="0076196C">
      <w:pPr>
        <w:ind w:firstLine="709"/>
        <w:jc w:val="both"/>
        <w:rPr>
          <w:rFonts w:eastAsia="Calibri"/>
          <w:bCs/>
          <w:iCs/>
          <w:szCs w:val="24"/>
        </w:rPr>
      </w:pPr>
      <w:r>
        <w:rPr>
          <w:rFonts w:eastAsia="Calibri"/>
          <w:bCs/>
          <w:iCs/>
          <w:szCs w:val="24"/>
        </w:rPr>
        <w:t>Dalyvaujama ir tarptautiniuose projektuose: e-</w:t>
      </w:r>
      <w:proofErr w:type="spellStart"/>
      <w:r>
        <w:rPr>
          <w:rFonts w:eastAsia="Calibri"/>
          <w:bCs/>
          <w:iCs/>
          <w:szCs w:val="24"/>
        </w:rPr>
        <w:t>Twinning</w:t>
      </w:r>
      <w:proofErr w:type="spellEnd"/>
      <w:r>
        <w:rPr>
          <w:rFonts w:eastAsia="Calibri"/>
          <w:bCs/>
          <w:iCs/>
          <w:szCs w:val="24"/>
        </w:rPr>
        <w:t xml:space="preserve"> projektai: ikimokyklinė grupė – „</w:t>
      </w:r>
      <w:proofErr w:type="spellStart"/>
      <w:r>
        <w:rPr>
          <w:rFonts w:eastAsia="Calibri"/>
          <w:bCs/>
          <w:iCs/>
          <w:szCs w:val="24"/>
        </w:rPr>
        <w:t>Healthy</w:t>
      </w:r>
      <w:proofErr w:type="spellEnd"/>
      <w:r>
        <w:rPr>
          <w:rFonts w:eastAsia="Calibri"/>
          <w:bCs/>
          <w:iCs/>
          <w:szCs w:val="24"/>
        </w:rPr>
        <w:t xml:space="preserve"> </w:t>
      </w:r>
      <w:proofErr w:type="spellStart"/>
      <w:r>
        <w:rPr>
          <w:rFonts w:eastAsia="Calibri"/>
          <w:bCs/>
          <w:iCs/>
          <w:szCs w:val="24"/>
        </w:rPr>
        <w:t>life</w:t>
      </w:r>
      <w:proofErr w:type="spellEnd"/>
      <w:r>
        <w:rPr>
          <w:rFonts w:eastAsia="Calibri"/>
          <w:bCs/>
          <w:iCs/>
          <w:szCs w:val="24"/>
        </w:rPr>
        <w:t xml:space="preserve"> </w:t>
      </w:r>
      <w:proofErr w:type="spellStart"/>
      <w:r>
        <w:rPr>
          <w:rFonts w:eastAsia="Calibri"/>
          <w:bCs/>
          <w:iCs/>
          <w:szCs w:val="24"/>
        </w:rPr>
        <w:t>happy</w:t>
      </w:r>
      <w:proofErr w:type="spellEnd"/>
      <w:r>
        <w:rPr>
          <w:rFonts w:eastAsia="Calibri"/>
          <w:bCs/>
          <w:iCs/>
          <w:szCs w:val="24"/>
        </w:rPr>
        <w:t xml:space="preserve"> </w:t>
      </w:r>
      <w:proofErr w:type="spellStart"/>
      <w:r>
        <w:rPr>
          <w:rFonts w:eastAsia="Calibri"/>
          <w:bCs/>
          <w:iCs/>
          <w:szCs w:val="24"/>
        </w:rPr>
        <w:t>future</w:t>
      </w:r>
      <w:proofErr w:type="spellEnd"/>
      <w:r w:rsidR="00AA2084">
        <w:rPr>
          <w:rFonts w:eastAsia="Calibri"/>
          <w:bCs/>
          <w:iCs/>
          <w:szCs w:val="24"/>
        </w:rPr>
        <w:t>“</w:t>
      </w:r>
      <w:r>
        <w:rPr>
          <w:rFonts w:eastAsia="Calibri"/>
          <w:bCs/>
          <w:iCs/>
          <w:szCs w:val="24"/>
        </w:rPr>
        <w:t xml:space="preserve">; 5 kl. mokiniai </w:t>
      </w:r>
      <w:r w:rsidR="00AA2084">
        <w:rPr>
          <w:rFonts w:eastAsia="Calibri"/>
          <w:bCs/>
          <w:iCs/>
          <w:szCs w:val="24"/>
        </w:rPr>
        <w:t xml:space="preserve">– </w:t>
      </w:r>
      <w:r>
        <w:rPr>
          <w:rFonts w:eastAsia="Calibri"/>
          <w:bCs/>
          <w:iCs/>
          <w:szCs w:val="24"/>
        </w:rPr>
        <w:t>„</w:t>
      </w:r>
      <w:proofErr w:type="spellStart"/>
      <w:r>
        <w:rPr>
          <w:rFonts w:eastAsia="Calibri"/>
          <w:bCs/>
          <w:iCs/>
          <w:szCs w:val="24"/>
        </w:rPr>
        <w:t>Our</w:t>
      </w:r>
      <w:proofErr w:type="spellEnd"/>
      <w:r>
        <w:rPr>
          <w:rFonts w:eastAsia="Calibri"/>
          <w:bCs/>
          <w:iCs/>
          <w:szCs w:val="24"/>
        </w:rPr>
        <w:t xml:space="preserve"> </w:t>
      </w:r>
      <w:proofErr w:type="spellStart"/>
      <w:r>
        <w:rPr>
          <w:rFonts w:eastAsia="Calibri"/>
          <w:bCs/>
          <w:iCs/>
          <w:szCs w:val="24"/>
        </w:rPr>
        <w:t>future</w:t>
      </w:r>
      <w:proofErr w:type="spellEnd"/>
      <w:r>
        <w:rPr>
          <w:rFonts w:eastAsia="Calibri"/>
          <w:bCs/>
          <w:iCs/>
          <w:szCs w:val="24"/>
        </w:rPr>
        <w:t xml:space="preserve"> </w:t>
      </w:r>
      <w:proofErr w:type="spellStart"/>
      <w:r>
        <w:rPr>
          <w:rFonts w:eastAsia="Calibri"/>
          <w:bCs/>
          <w:iCs/>
          <w:szCs w:val="24"/>
        </w:rPr>
        <w:t>home</w:t>
      </w:r>
      <w:proofErr w:type="spellEnd"/>
      <w:r>
        <w:rPr>
          <w:rFonts w:eastAsia="Calibri"/>
          <w:bCs/>
          <w:iCs/>
          <w:szCs w:val="24"/>
        </w:rPr>
        <w:t>“ ir „</w:t>
      </w:r>
      <w:proofErr w:type="spellStart"/>
      <w:r>
        <w:rPr>
          <w:rFonts w:eastAsia="Calibri"/>
          <w:bCs/>
          <w:iCs/>
          <w:szCs w:val="24"/>
        </w:rPr>
        <w:t>Happy</w:t>
      </w:r>
      <w:proofErr w:type="spellEnd"/>
      <w:r>
        <w:rPr>
          <w:rFonts w:eastAsia="Calibri"/>
          <w:bCs/>
          <w:iCs/>
          <w:szCs w:val="24"/>
        </w:rPr>
        <w:t xml:space="preserve"> </w:t>
      </w:r>
      <w:proofErr w:type="spellStart"/>
      <w:r>
        <w:rPr>
          <w:rFonts w:eastAsia="Calibri"/>
          <w:bCs/>
          <w:iCs/>
          <w:szCs w:val="24"/>
        </w:rPr>
        <w:t>children</w:t>
      </w:r>
      <w:proofErr w:type="spellEnd"/>
      <w:r>
        <w:rPr>
          <w:rFonts w:eastAsia="Calibri"/>
          <w:bCs/>
          <w:iCs/>
          <w:szCs w:val="24"/>
        </w:rPr>
        <w:t xml:space="preserve">, </w:t>
      </w:r>
      <w:proofErr w:type="spellStart"/>
      <w:r>
        <w:rPr>
          <w:rFonts w:eastAsia="Calibri"/>
          <w:bCs/>
          <w:iCs/>
          <w:szCs w:val="24"/>
        </w:rPr>
        <w:t>happy</w:t>
      </w:r>
      <w:proofErr w:type="spellEnd"/>
      <w:r>
        <w:rPr>
          <w:rFonts w:eastAsia="Calibri"/>
          <w:bCs/>
          <w:iCs/>
          <w:szCs w:val="24"/>
        </w:rPr>
        <w:t xml:space="preserve"> </w:t>
      </w:r>
      <w:proofErr w:type="spellStart"/>
      <w:r>
        <w:rPr>
          <w:rFonts w:eastAsia="Calibri"/>
          <w:bCs/>
          <w:iCs/>
          <w:szCs w:val="24"/>
        </w:rPr>
        <w:t>school</w:t>
      </w:r>
      <w:proofErr w:type="spellEnd"/>
      <w:r>
        <w:rPr>
          <w:rFonts w:eastAsia="Calibri"/>
          <w:bCs/>
          <w:iCs/>
          <w:szCs w:val="24"/>
        </w:rPr>
        <w:t>“.</w:t>
      </w:r>
    </w:p>
    <w:p w14:paraId="5F90BA9B" w14:textId="77777777" w:rsidR="0076196C" w:rsidRPr="00BE37BE" w:rsidRDefault="0076196C" w:rsidP="0076196C">
      <w:pPr>
        <w:ind w:firstLine="709"/>
        <w:jc w:val="both"/>
        <w:rPr>
          <w:rFonts w:eastAsia="Calibri"/>
          <w:bCs/>
          <w:iCs/>
          <w:szCs w:val="24"/>
        </w:rPr>
      </w:pPr>
      <w:r w:rsidRPr="00BE37BE">
        <w:rPr>
          <w:rFonts w:eastAsia="Calibri"/>
          <w:bCs/>
          <w:iCs/>
          <w:szCs w:val="24"/>
        </w:rPr>
        <w:t>Tėvams (globėjams, rūpintojams) sistemingai pateikiama informacija apie vaiko daromą pažangą, elgesio problemas elektroniniame dienyne TAMO, individualių pokalbių metu. Klasių vadovai organizuoja teminius susirinkimus tėvams (globėjams, rūpintojams). Organizuojami bendri informaciniai tėvų (globėjų) ir pedagogų susirinkimai, įvairūs bendri mokyklos renginiai.</w:t>
      </w:r>
    </w:p>
    <w:p w14:paraId="4E53B4AF" w14:textId="77777777" w:rsidR="0076196C" w:rsidRDefault="0076196C" w:rsidP="0076196C">
      <w:pPr>
        <w:rPr>
          <w:rFonts w:eastAsia="Calibri"/>
          <w:bCs/>
          <w:iCs/>
          <w:szCs w:val="24"/>
        </w:rPr>
      </w:pPr>
    </w:p>
    <w:tbl>
      <w:tblPr>
        <w:tblW w:w="0" w:type="auto"/>
        <w:tblLook w:val="04A0" w:firstRow="1" w:lastRow="0" w:firstColumn="1" w:lastColumn="0" w:noHBand="0" w:noVBand="1"/>
      </w:tblPr>
      <w:tblGrid>
        <w:gridCol w:w="4928"/>
        <w:gridCol w:w="3685"/>
        <w:gridCol w:w="1560"/>
        <w:gridCol w:w="2465"/>
      </w:tblGrid>
      <w:tr w:rsidR="0089276C" w14:paraId="2E69CC13" w14:textId="77777777" w:rsidTr="00290330">
        <w:tc>
          <w:tcPr>
            <w:tcW w:w="4928" w:type="dxa"/>
            <w:shd w:val="clear" w:color="auto" w:fill="auto"/>
          </w:tcPr>
          <w:p w14:paraId="7C477862" w14:textId="77777777" w:rsidR="0089276C" w:rsidRDefault="0089276C" w:rsidP="00290330">
            <w:pPr>
              <w:jc w:val="both"/>
              <w:rPr>
                <w:rFonts w:eastAsia="Calibri"/>
                <w:szCs w:val="24"/>
              </w:rPr>
            </w:pPr>
            <w:r>
              <w:rPr>
                <w:rFonts w:eastAsia="Calibri"/>
                <w:szCs w:val="24"/>
              </w:rPr>
              <w:t>Direktorė</w:t>
            </w:r>
          </w:p>
        </w:tc>
        <w:tc>
          <w:tcPr>
            <w:tcW w:w="3685" w:type="dxa"/>
            <w:tcBorders>
              <w:bottom w:val="single" w:sz="4" w:space="0" w:color="auto"/>
            </w:tcBorders>
            <w:shd w:val="clear" w:color="auto" w:fill="auto"/>
          </w:tcPr>
          <w:p w14:paraId="5CE24D7F" w14:textId="77777777" w:rsidR="0089276C" w:rsidRDefault="0089276C" w:rsidP="00290330">
            <w:pPr>
              <w:jc w:val="both"/>
              <w:rPr>
                <w:rFonts w:eastAsia="Calibri"/>
                <w:szCs w:val="24"/>
              </w:rPr>
            </w:pPr>
          </w:p>
        </w:tc>
        <w:tc>
          <w:tcPr>
            <w:tcW w:w="1560" w:type="dxa"/>
            <w:shd w:val="clear" w:color="auto" w:fill="auto"/>
          </w:tcPr>
          <w:p w14:paraId="70C3F1C0" w14:textId="77777777" w:rsidR="0089276C" w:rsidRDefault="0089276C" w:rsidP="00290330">
            <w:pPr>
              <w:jc w:val="both"/>
              <w:rPr>
                <w:rFonts w:eastAsia="Calibri"/>
                <w:szCs w:val="24"/>
              </w:rPr>
            </w:pPr>
          </w:p>
        </w:tc>
        <w:tc>
          <w:tcPr>
            <w:tcW w:w="2465" w:type="dxa"/>
            <w:tcBorders>
              <w:bottom w:val="single" w:sz="4" w:space="0" w:color="auto"/>
            </w:tcBorders>
            <w:shd w:val="clear" w:color="auto" w:fill="auto"/>
          </w:tcPr>
          <w:p w14:paraId="281E532E" w14:textId="77777777" w:rsidR="0089276C" w:rsidRDefault="0089276C" w:rsidP="00290330">
            <w:pPr>
              <w:jc w:val="both"/>
              <w:rPr>
                <w:rFonts w:eastAsia="Calibri"/>
                <w:szCs w:val="24"/>
              </w:rPr>
            </w:pPr>
            <w:r>
              <w:rPr>
                <w:rFonts w:eastAsia="Calibri"/>
                <w:szCs w:val="24"/>
              </w:rPr>
              <w:t xml:space="preserve">Rasa </w:t>
            </w:r>
            <w:proofErr w:type="spellStart"/>
            <w:r>
              <w:rPr>
                <w:rFonts w:eastAsia="Calibri"/>
                <w:szCs w:val="24"/>
              </w:rPr>
              <w:t>Augustienė</w:t>
            </w:r>
            <w:proofErr w:type="spellEnd"/>
          </w:p>
        </w:tc>
      </w:tr>
      <w:bookmarkEnd w:id="6"/>
    </w:tbl>
    <w:p w14:paraId="2BC6CFDE" w14:textId="77777777" w:rsidR="0076196C" w:rsidRDefault="0076196C" w:rsidP="0076196C">
      <w:pPr>
        <w:jc w:val="center"/>
      </w:pPr>
    </w:p>
    <w:p w14:paraId="05213EC2" w14:textId="77777777" w:rsidR="00121A4A" w:rsidRDefault="00121A4A" w:rsidP="0076196C">
      <w:pPr>
        <w:jc w:val="center"/>
      </w:pPr>
    </w:p>
    <w:p w14:paraId="67715A69" w14:textId="77777777" w:rsidR="00121A4A" w:rsidRDefault="00121A4A" w:rsidP="0076196C">
      <w:pPr>
        <w:jc w:val="center"/>
      </w:pPr>
    </w:p>
    <w:p w14:paraId="02A6685B" w14:textId="77777777" w:rsidR="00D93DCC" w:rsidRDefault="0076196C" w:rsidP="0089276C">
      <w:pPr>
        <w:jc w:val="center"/>
      </w:pPr>
      <w:r>
        <w:t>______________________________________</w:t>
      </w:r>
    </w:p>
    <w:p w14:paraId="44FE285A" w14:textId="77777777" w:rsidR="00D93DCC" w:rsidRDefault="00D93DCC" w:rsidP="00107C26">
      <w:pPr>
        <w:pStyle w:val="Antrats"/>
        <w:tabs>
          <w:tab w:val="clear" w:pos="4153"/>
          <w:tab w:val="clear" w:pos="8306"/>
        </w:tabs>
        <w:sectPr w:rsidR="00D93DCC" w:rsidSect="0065146A">
          <w:pgSz w:w="16838" w:h="11906" w:orient="landscape" w:code="9"/>
          <w:pgMar w:top="1701" w:right="1134" w:bottom="680" w:left="1134" w:header="1134" w:footer="726" w:gutter="0"/>
          <w:cols w:space="1296"/>
          <w:titlePg/>
          <w:docGrid w:linePitch="360"/>
        </w:sectPr>
      </w:pPr>
    </w:p>
    <w:p w14:paraId="655ECE80" w14:textId="77777777" w:rsidR="00D93DCC" w:rsidRDefault="00D93DCC" w:rsidP="00107C26">
      <w:pPr>
        <w:pStyle w:val="Antrats"/>
        <w:tabs>
          <w:tab w:val="clear" w:pos="4153"/>
          <w:tab w:val="clear" w:pos="8306"/>
        </w:tabs>
      </w:pPr>
    </w:p>
    <w:p w14:paraId="0124F220" w14:textId="77777777" w:rsidR="002E1F99" w:rsidRDefault="002E1F99" w:rsidP="002E1F99">
      <w:pPr>
        <w:pStyle w:val="Pavadinimas"/>
        <w:jc w:val="left"/>
        <w:rPr>
          <w:b w:val="0"/>
        </w:rPr>
      </w:pPr>
    </w:p>
    <w:p w14:paraId="01695F24" w14:textId="77777777" w:rsidR="00B668F0" w:rsidRDefault="00B668F0" w:rsidP="00B668F0">
      <w:pPr>
        <w:pStyle w:val="Pavadinimas"/>
        <w:pBdr>
          <w:bottom w:val="single" w:sz="12" w:space="1" w:color="auto"/>
        </w:pBdr>
      </w:pPr>
      <w:r>
        <w:t>JURBARKO RAJONO SAVIVALDYBĖS ADMINISTRACIJOS</w:t>
      </w:r>
    </w:p>
    <w:p w14:paraId="42738D52" w14:textId="77777777" w:rsidR="008F0F3E" w:rsidRDefault="008F0F3E" w:rsidP="008F0F3E">
      <w:pPr>
        <w:pStyle w:val="Pavadinimas"/>
        <w:pBdr>
          <w:bottom w:val="single" w:sz="12" w:space="1" w:color="auto"/>
        </w:pBdr>
      </w:pPr>
      <w:bookmarkStart w:id="7" w:name="_Hlk163634171"/>
      <w:r>
        <w:t>ŠVIETIMO, KULTŪROS IR SPORTO SKYRIUS</w:t>
      </w:r>
    </w:p>
    <w:bookmarkEnd w:id="7"/>
    <w:p w14:paraId="66014C54" w14:textId="77777777" w:rsidR="00B668F0" w:rsidRDefault="00B668F0" w:rsidP="00B668F0">
      <w:pPr>
        <w:pStyle w:val="Pavadinimas"/>
        <w:pBdr>
          <w:bottom w:val="single" w:sz="12" w:space="1" w:color="auto"/>
        </w:pBdr>
      </w:pPr>
    </w:p>
    <w:p w14:paraId="5ADA1352" w14:textId="77777777" w:rsidR="002E1F99" w:rsidRDefault="002E1F99" w:rsidP="002E1F99">
      <w:pPr>
        <w:pStyle w:val="Paantrat"/>
      </w:pPr>
    </w:p>
    <w:p w14:paraId="7B2424B3" w14:textId="77777777" w:rsidR="002E1F99" w:rsidRDefault="002E1F99" w:rsidP="002E1F99">
      <w:pPr>
        <w:pStyle w:val="Paantrat"/>
      </w:pPr>
      <w:r>
        <w:t>AIŠKINAMASIS RAŠTAS</w:t>
      </w:r>
    </w:p>
    <w:p w14:paraId="34A0E728" w14:textId="77777777" w:rsidR="002E1F99" w:rsidRDefault="002E1F99" w:rsidP="002E1F99">
      <w:pPr>
        <w:jc w:val="center"/>
        <w:rPr>
          <w:caps/>
        </w:rPr>
      </w:pPr>
    </w:p>
    <w:p w14:paraId="1BD0B46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B1658" w:rsidRPr="00AE61D9">
        <w:rPr>
          <w:b/>
        </w:rPr>
        <w:fldChar w:fldCharType="begin">
          <w:ffData>
            <w:name w:val="DOC_DATA"/>
            <w:enabled/>
            <w:calcOnExit w:val="0"/>
            <w:textInput>
              <w:default w:val="{$DOC_DATA}"/>
            </w:textInput>
          </w:ffData>
        </w:fldChar>
      </w:r>
      <w:r w:rsidR="002930A8" w:rsidRPr="005231DA">
        <w:rPr>
          <w:b/>
        </w:rPr>
        <w:instrText xml:space="preserve"> FORMTEXT </w:instrText>
      </w:r>
      <w:r w:rsidR="00CB1658" w:rsidRPr="00AE61D9">
        <w:rPr>
          <w:b/>
        </w:rPr>
      </w:r>
      <w:r w:rsidR="00CB1658" w:rsidRPr="00AE61D9">
        <w:rPr>
          <w:b/>
        </w:rPr>
        <w:fldChar w:fldCharType="separate"/>
      </w:r>
      <w:r w:rsidR="002930A8" w:rsidRPr="005231DA">
        <w:rPr>
          <w:b/>
          <w:noProof/>
        </w:rPr>
        <w:t xml:space="preserve">DĖL </w:t>
      </w:r>
      <w:r w:rsidR="002930A8">
        <w:rPr>
          <w:b/>
          <w:noProof/>
        </w:rPr>
        <w:t xml:space="preserve">2023 METŲ </w:t>
      </w:r>
      <w:r w:rsidR="002930A8" w:rsidRPr="005231DA">
        <w:rPr>
          <w:b/>
          <w:noProof/>
        </w:rPr>
        <w:t xml:space="preserve">JURBARKO RAJONO VIEŠVILĖS PAGRINDINĖS MOKYKLOS </w:t>
      </w:r>
      <w:r w:rsidR="002930A8">
        <w:rPr>
          <w:b/>
          <w:noProof/>
        </w:rPr>
        <w:t>METINIŲ ATASKAITŲ RINKINIO PATVIRTINIMO</w:t>
      </w:r>
      <w:r w:rsidR="00CB1658" w:rsidRPr="00AE61D9">
        <w:rPr>
          <w:b/>
        </w:rPr>
        <w:fldChar w:fldCharType="end"/>
      </w:r>
      <w:r w:rsidRPr="00FD0852">
        <w:rPr>
          <w:b/>
          <w:szCs w:val="26"/>
        </w:rPr>
        <w:t>“</w:t>
      </w:r>
      <w:r w:rsidR="00031B2B" w:rsidRPr="00FD0852">
        <w:rPr>
          <w:b/>
          <w:szCs w:val="26"/>
        </w:rPr>
        <w:t xml:space="preserve"> </w:t>
      </w:r>
      <w:r>
        <w:rPr>
          <w:b/>
          <w:bCs/>
          <w:caps/>
        </w:rPr>
        <w:t>projekto</w:t>
      </w:r>
    </w:p>
    <w:p w14:paraId="30A4FF0D" w14:textId="77777777" w:rsidR="002E1F99" w:rsidRDefault="002E1F99" w:rsidP="002E1F99">
      <w:pPr>
        <w:tabs>
          <w:tab w:val="left" w:pos="567"/>
        </w:tabs>
        <w:jc w:val="center"/>
      </w:pPr>
    </w:p>
    <w:p w14:paraId="44D95B55" w14:textId="77777777" w:rsidR="00001758" w:rsidRDefault="00CB165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61919BE7" w14:textId="77777777" w:rsidR="002E1F99" w:rsidRDefault="002E1F99" w:rsidP="002E1F99">
      <w:pPr>
        <w:tabs>
          <w:tab w:val="left" w:pos="0"/>
        </w:tabs>
        <w:jc w:val="center"/>
      </w:pPr>
      <w:r>
        <w:t>Jurbarkas</w:t>
      </w:r>
    </w:p>
    <w:p w14:paraId="2A16C675"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A91F1D" w14:paraId="0E182DA3" w14:textId="77777777" w:rsidTr="00290330">
        <w:tc>
          <w:tcPr>
            <w:tcW w:w="9741" w:type="dxa"/>
          </w:tcPr>
          <w:p w14:paraId="46C852AA" w14:textId="77777777" w:rsidR="00A91F1D" w:rsidRDefault="00A91F1D" w:rsidP="00290330">
            <w:pPr>
              <w:tabs>
                <w:tab w:val="left" w:pos="0"/>
              </w:tabs>
              <w:rPr>
                <w:b/>
                <w:bCs/>
                <w:sz w:val="22"/>
              </w:rPr>
            </w:pPr>
            <w:r>
              <w:rPr>
                <w:b/>
                <w:bCs/>
                <w:i/>
                <w:iCs/>
                <w:sz w:val="22"/>
              </w:rPr>
              <w:t>1. Parengto projekto tikslai ir uždaviniai.</w:t>
            </w:r>
          </w:p>
        </w:tc>
      </w:tr>
      <w:tr w:rsidR="00A91F1D" w14:paraId="46AB62FB" w14:textId="77777777" w:rsidTr="00290330">
        <w:tc>
          <w:tcPr>
            <w:tcW w:w="9741" w:type="dxa"/>
          </w:tcPr>
          <w:p w14:paraId="509B6C94" w14:textId="77777777" w:rsidR="00A91F1D" w:rsidRDefault="00A91F1D" w:rsidP="00290330">
            <w:pPr>
              <w:tabs>
                <w:tab w:val="left" w:pos="0"/>
              </w:tabs>
              <w:jc w:val="both"/>
              <w:rPr>
                <w:szCs w:val="24"/>
              </w:rPr>
            </w:pPr>
            <w:r>
              <w:rPr>
                <w:color w:val="000000"/>
              </w:rPr>
              <w:t xml:space="preserve">Patvirtinti 2023 m. </w:t>
            </w:r>
            <w:r>
              <w:rPr>
                <w:szCs w:val="24"/>
              </w:rPr>
              <w:t>Jurbarko r. Viešvilės pagrindinės mokyklos metinių ataskaitų rinkinį:</w:t>
            </w:r>
            <w:r w:rsidRPr="0009078D">
              <w:rPr>
                <w:szCs w:val="24"/>
                <w:lang w:eastAsia="ar-SA"/>
              </w:rPr>
              <w:t xml:space="preserve"> 2023 metų veiklos ataskait</w:t>
            </w:r>
            <w:r>
              <w:rPr>
                <w:szCs w:val="24"/>
                <w:lang w:eastAsia="ar-SA"/>
              </w:rPr>
              <w:t>ą</w:t>
            </w:r>
            <w:r w:rsidRPr="0009078D">
              <w:rPr>
                <w:szCs w:val="24"/>
                <w:lang w:eastAsia="ar-SA"/>
              </w:rPr>
              <w:t>, finansinių ataskaitų rinkin</w:t>
            </w:r>
            <w:r>
              <w:rPr>
                <w:szCs w:val="24"/>
                <w:lang w:eastAsia="ar-SA"/>
              </w:rPr>
              <w:t>į</w:t>
            </w:r>
            <w:r w:rsidRPr="0009078D">
              <w:rPr>
                <w:szCs w:val="24"/>
                <w:lang w:eastAsia="ar-SA"/>
              </w:rPr>
              <w:t>, biudžeto vykdymo ataskaitų rinkin</w:t>
            </w:r>
            <w:r>
              <w:rPr>
                <w:szCs w:val="24"/>
                <w:lang w:eastAsia="ar-SA"/>
              </w:rPr>
              <w:t>į</w:t>
            </w:r>
            <w:r w:rsidRPr="0009078D">
              <w:rPr>
                <w:szCs w:val="24"/>
                <w:lang w:eastAsia="ar-SA"/>
              </w:rPr>
              <w:t>.</w:t>
            </w:r>
          </w:p>
          <w:p w14:paraId="75A1439A" w14:textId="77777777" w:rsidR="00A91F1D" w:rsidRDefault="00A91F1D" w:rsidP="00290330">
            <w:pPr>
              <w:tabs>
                <w:tab w:val="left" w:pos="0"/>
              </w:tabs>
              <w:jc w:val="both"/>
              <w:rPr>
                <w:sz w:val="22"/>
              </w:rPr>
            </w:pPr>
          </w:p>
        </w:tc>
      </w:tr>
      <w:tr w:rsidR="00A91F1D" w14:paraId="1BEB655F" w14:textId="77777777" w:rsidTr="00290330">
        <w:tc>
          <w:tcPr>
            <w:tcW w:w="9741" w:type="dxa"/>
          </w:tcPr>
          <w:p w14:paraId="380110B9" w14:textId="77777777" w:rsidR="00A91F1D" w:rsidRDefault="00A91F1D" w:rsidP="00290330">
            <w:pPr>
              <w:tabs>
                <w:tab w:val="left" w:pos="0"/>
              </w:tabs>
              <w:rPr>
                <w:b/>
                <w:bCs/>
                <w:sz w:val="22"/>
              </w:rPr>
            </w:pPr>
            <w:r>
              <w:rPr>
                <w:b/>
                <w:bCs/>
                <w:i/>
                <w:iCs/>
                <w:sz w:val="22"/>
              </w:rPr>
              <w:t>2. Kaip šiuo metu yra sureguliuoti projekte aptarti klausimai.</w:t>
            </w:r>
          </w:p>
        </w:tc>
      </w:tr>
      <w:tr w:rsidR="00A91F1D" w14:paraId="1308B949" w14:textId="77777777" w:rsidTr="00290330">
        <w:tc>
          <w:tcPr>
            <w:tcW w:w="9741" w:type="dxa"/>
          </w:tcPr>
          <w:p w14:paraId="309CB106" w14:textId="77777777" w:rsidR="00A91F1D" w:rsidRDefault="00A91F1D" w:rsidP="00290330">
            <w:pPr>
              <w:tabs>
                <w:tab w:val="left" w:pos="0"/>
              </w:tabs>
              <w:jc w:val="both"/>
              <w:rPr>
                <w:color w:val="000000"/>
              </w:rPr>
            </w:pPr>
            <w:r w:rsidRPr="00DB3317">
              <w:rPr>
                <w:color w:val="000000"/>
              </w:rPr>
              <w:t>Lietuvos Respublikos vietos savivaldos įstatymo 15 straipsnio 3 dalies 1 punktas numato, kad paprastoji savivaldybės tarybos kompetencija yra savivaldybės biudžetinių įstaigų metinių ataskaitų rinkinių tvirtinimas.</w:t>
            </w:r>
          </w:p>
          <w:p w14:paraId="063FFFE9" w14:textId="77777777" w:rsidR="00A91F1D" w:rsidRDefault="00A91F1D" w:rsidP="00290330">
            <w:pPr>
              <w:tabs>
                <w:tab w:val="left" w:pos="0"/>
              </w:tabs>
              <w:jc w:val="both"/>
              <w:rPr>
                <w:szCs w:val="24"/>
              </w:rPr>
            </w:pPr>
            <w:r w:rsidRPr="00A809D6">
              <w:rPr>
                <w:szCs w:val="24"/>
              </w:rPr>
              <w:t>Lietuvos Respublikos viešojo sektoriaus atskaitomybės įstatymo 6 straipsnio 1 dali</w:t>
            </w:r>
            <w:r>
              <w:rPr>
                <w:szCs w:val="24"/>
              </w:rPr>
              <w:t>s nurodo, kad metinių ataskaitų rinkinį sudaro</w:t>
            </w:r>
            <w:r w:rsidRPr="00A809D6">
              <w:rPr>
                <w:szCs w:val="24"/>
              </w:rPr>
              <w:t xml:space="preserve"> </w:t>
            </w:r>
            <w:r>
              <w:rPr>
                <w:szCs w:val="24"/>
              </w:rPr>
              <w:t>metinė veiklos ataskaita, metinių finansinių ataskaitų rinkinys</w:t>
            </w:r>
            <w:r w:rsidRPr="00A809D6">
              <w:rPr>
                <w:szCs w:val="24"/>
              </w:rPr>
              <w:t xml:space="preserve"> </w:t>
            </w:r>
            <w:r>
              <w:rPr>
                <w:szCs w:val="24"/>
              </w:rPr>
              <w:t>ir metinių biudžeto vykdymo ataskaitų rinkinys.</w:t>
            </w:r>
          </w:p>
          <w:p w14:paraId="6049411E" w14:textId="77777777" w:rsidR="00A91F1D" w:rsidRDefault="00A91F1D" w:rsidP="00290330">
            <w:pPr>
              <w:jc w:val="both"/>
              <w:rPr>
                <w:color w:val="000000"/>
              </w:rPr>
            </w:pPr>
            <w:r w:rsidRPr="0009078D">
              <w:rPr>
                <w:szCs w:val="24"/>
              </w:rPr>
              <w:t>Viešojo sektoriaus subjekto metinės veiklos ataskaitos ir viešojo sektoriaus subjektų grupės metinės veiklos ataskaitos rengimo tvarkos aprašo</w:t>
            </w:r>
            <w:r>
              <w:rPr>
                <w:szCs w:val="24"/>
              </w:rPr>
              <w:t xml:space="preserve"> </w:t>
            </w:r>
            <w:r w:rsidRPr="001471AC">
              <w:rPr>
                <w:szCs w:val="24"/>
              </w:rPr>
              <w:t>4</w:t>
            </w:r>
            <w:r>
              <w:rPr>
                <w:szCs w:val="24"/>
              </w:rPr>
              <w:t xml:space="preserve"> </w:t>
            </w:r>
            <w:r w:rsidRPr="001471AC">
              <w:rPr>
                <w:szCs w:val="24"/>
              </w:rPr>
              <w:t>punkt</w:t>
            </w:r>
            <w:r>
              <w:rPr>
                <w:szCs w:val="24"/>
              </w:rPr>
              <w:t xml:space="preserve">as nusako, kokie </w:t>
            </w:r>
            <w:r>
              <w:rPr>
                <w:color w:val="000000"/>
              </w:rPr>
              <w:t>subjektai rengia laisvos formos veiklos ataskaitą, kokia informacija turi būti joje pateikiama.</w:t>
            </w:r>
          </w:p>
          <w:p w14:paraId="755413EE" w14:textId="77777777" w:rsidR="00A91F1D" w:rsidRDefault="00A91F1D" w:rsidP="00290330">
            <w:pPr>
              <w:jc w:val="both"/>
              <w:rPr>
                <w:color w:val="000000"/>
              </w:rPr>
            </w:pPr>
            <w:r w:rsidRPr="0009078D">
              <w:rPr>
                <w:szCs w:val="24"/>
              </w:rPr>
              <w:t xml:space="preserve">Ataskaitas pateikė </w:t>
            </w:r>
            <w:r>
              <w:rPr>
                <w:szCs w:val="24"/>
              </w:rPr>
              <w:t xml:space="preserve">Jurbarko r. Viešvilės pagrindinės mokyklos </w:t>
            </w:r>
            <w:r w:rsidRPr="0009078D">
              <w:rPr>
                <w:szCs w:val="24"/>
              </w:rPr>
              <w:t>direktorius teisės aktų nustatyta tvarka.</w:t>
            </w:r>
          </w:p>
          <w:p w14:paraId="358D9137" w14:textId="77777777" w:rsidR="00A91F1D" w:rsidRDefault="00A91F1D" w:rsidP="00290330">
            <w:pPr>
              <w:jc w:val="both"/>
              <w:rPr>
                <w:sz w:val="22"/>
              </w:rPr>
            </w:pPr>
          </w:p>
        </w:tc>
      </w:tr>
      <w:tr w:rsidR="00A91F1D" w14:paraId="5D586C98" w14:textId="77777777" w:rsidTr="00290330">
        <w:tc>
          <w:tcPr>
            <w:tcW w:w="9741" w:type="dxa"/>
          </w:tcPr>
          <w:p w14:paraId="50B8D1E0" w14:textId="77777777" w:rsidR="00A91F1D" w:rsidRDefault="00A91F1D" w:rsidP="00290330">
            <w:pPr>
              <w:tabs>
                <w:tab w:val="left" w:pos="0"/>
              </w:tabs>
              <w:rPr>
                <w:b/>
                <w:bCs/>
                <w:i/>
                <w:iCs/>
                <w:sz w:val="22"/>
              </w:rPr>
            </w:pPr>
            <w:r>
              <w:rPr>
                <w:b/>
                <w:bCs/>
                <w:i/>
                <w:iCs/>
                <w:sz w:val="22"/>
              </w:rPr>
              <w:t>3. Kokių pozityvių rezultatų laukiama.</w:t>
            </w:r>
          </w:p>
        </w:tc>
      </w:tr>
      <w:tr w:rsidR="00A91F1D" w14:paraId="783C23D3" w14:textId="77777777" w:rsidTr="00290330">
        <w:tc>
          <w:tcPr>
            <w:tcW w:w="9741" w:type="dxa"/>
          </w:tcPr>
          <w:p w14:paraId="244AE47A" w14:textId="77777777" w:rsidR="00A91F1D" w:rsidRDefault="00A91F1D" w:rsidP="00290330">
            <w:pPr>
              <w:tabs>
                <w:tab w:val="left" w:pos="0"/>
              </w:tabs>
              <w:jc w:val="both"/>
              <w:rPr>
                <w:szCs w:val="24"/>
              </w:rPr>
            </w:pPr>
            <w:r w:rsidRPr="0009078D">
              <w:rPr>
                <w:szCs w:val="24"/>
              </w:rPr>
              <w:t>Bus įgyvendinti teisės aktų reikalavimai.</w:t>
            </w:r>
          </w:p>
          <w:p w14:paraId="682BED51" w14:textId="77777777" w:rsidR="00A91F1D" w:rsidRDefault="00A91F1D" w:rsidP="00290330">
            <w:pPr>
              <w:tabs>
                <w:tab w:val="left" w:pos="0"/>
              </w:tabs>
              <w:jc w:val="both"/>
              <w:rPr>
                <w:sz w:val="22"/>
              </w:rPr>
            </w:pPr>
          </w:p>
        </w:tc>
      </w:tr>
      <w:tr w:rsidR="00A91F1D" w14:paraId="01F71A8E" w14:textId="77777777" w:rsidTr="00290330">
        <w:tc>
          <w:tcPr>
            <w:tcW w:w="9741" w:type="dxa"/>
          </w:tcPr>
          <w:p w14:paraId="363748F8" w14:textId="77777777" w:rsidR="00A91F1D" w:rsidRDefault="00A91F1D" w:rsidP="00290330">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A91F1D" w14:paraId="6728373A" w14:textId="77777777" w:rsidTr="00290330">
        <w:tc>
          <w:tcPr>
            <w:tcW w:w="9741" w:type="dxa"/>
          </w:tcPr>
          <w:p w14:paraId="7FC25F7F" w14:textId="77777777" w:rsidR="00A91F1D" w:rsidRDefault="00A91F1D" w:rsidP="00290330">
            <w:pPr>
              <w:tabs>
                <w:tab w:val="left" w:pos="0"/>
              </w:tabs>
              <w:jc w:val="both"/>
              <w:rPr>
                <w:szCs w:val="24"/>
              </w:rPr>
            </w:pPr>
            <w:r w:rsidRPr="00712690">
              <w:rPr>
                <w:szCs w:val="24"/>
              </w:rPr>
              <w:t>Nenumatomos</w:t>
            </w:r>
          </w:p>
          <w:p w14:paraId="5ED687E5" w14:textId="77777777" w:rsidR="00A91F1D" w:rsidRDefault="00A91F1D" w:rsidP="00290330">
            <w:pPr>
              <w:tabs>
                <w:tab w:val="left" w:pos="0"/>
              </w:tabs>
              <w:jc w:val="both"/>
              <w:rPr>
                <w:sz w:val="20"/>
              </w:rPr>
            </w:pPr>
          </w:p>
        </w:tc>
      </w:tr>
      <w:tr w:rsidR="00A91F1D" w14:paraId="60A97F67" w14:textId="77777777" w:rsidTr="00290330">
        <w:tc>
          <w:tcPr>
            <w:tcW w:w="9741" w:type="dxa"/>
          </w:tcPr>
          <w:p w14:paraId="0CDBA083" w14:textId="77777777" w:rsidR="00A91F1D" w:rsidRDefault="00A91F1D" w:rsidP="00290330">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A91F1D" w14:paraId="2D1808EA" w14:textId="77777777" w:rsidTr="00290330">
        <w:tc>
          <w:tcPr>
            <w:tcW w:w="9741" w:type="dxa"/>
          </w:tcPr>
          <w:p w14:paraId="61898D00" w14:textId="77777777" w:rsidR="00A91F1D" w:rsidRDefault="00A91F1D" w:rsidP="00290330">
            <w:pPr>
              <w:tabs>
                <w:tab w:val="left" w:pos="0"/>
              </w:tabs>
              <w:jc w:val="both"/>
              <w:rPr>
                <w:szCs w:val="24"/>
              </w:rPr>
            </w:pPr>
            <w:r w:rsidRPr="002C723D">
              <w:rPr>
                <w:szCs w:val="24"/>
              </w:rPr>
              <w:t>Jokių teisės aktų nereikia keisti n</w:t>
            </w:r>
            <w:r>
              <w:rPr>
                <w:szCs w:val="24"/>
              </w:rPr>
              <w:t>ei</w:t>
            </w:r>
            <w:r w:rsidRPr="002C723D">
              <w:rPr>
                <w:szCs w:val="24"/>
              </w:rPr>
              <w:t xml:space="preserve"> naikinti.</w:t>
            </w:r>
          </w:p>
          <w:p w14:paraId="74F31921" w14:textId="77777777" w:rsidR="00A91F1D" w:rsidRDefault="00A91F1D" w:rsidP="00290330">
            <w:pPr>
              <w:tabs>
                <w:tab w:val="left" w:pos="0"/>
              </w:tabs>
              <w:jc w:val="both"/>
              <w:rPr>
                <w:sz w:val="22"/>
              </w:rPr>
            </w:pPr>
          </w:p>
        </w:tc>
      </w:tr>
      <w:tr w:rsidR="00A91F1D" w14:paraId="5182DE98" w14:textId="77777777" w:rsidTr="00290330">
        <w:tc>
          <w:tcPr>
            <w:tcW w:w="9741" w:type="dxa"/>
          </w:tcPr>
          <w:p w14:paraId="0E1AD1A7" w14:textId="77777777" w:rsidR="00A91F1D" w:rsidRDefault="00A91F1D" w:rsidP="00290330">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5E9A293" w14:textId="77777777" w:rsidR="00A91F1D" w:rsidRDefault="00A91F1D" w:rsidP="00290330">
            <w:pPr>
              <w:tabs>
                <w:tab w:val="left" w:pos="0"/>
              </w:tabs>
              <w:rPr>
                <w:bCs/>
                <w:iCs/>
                <w:szCs w:val="24"/>
              </w:rPr>
            </w:pPr>
            <w:r w:rsidRPr="002C723D">
              <w:rPr>
                <w:bCs/>
                <w:iCs/>
                <w:szCs w:val="24"/>
              </w:rPr>
              <w:t>Nebuvo gauta jokių siūlymų, finansavimas nereikalingas</w:t>
            </w:r>
            <w:r>
              <w:rPr>
                <w:bCs/>
                <w:iCs/>
                <w:szCs w:val="24"/>
              </w:rPr>
              <w:t>.</w:t>
            </w:r>
          </w:p>
          <w:p w14:paraId="5F0EB000" w14:textId="77777777" w:rsidR="00A91F1D" w:rsidRDefault="00A91F1D" w:rsidP="00290330">
            <w:pPr>
              <w:tabs>
                <w:tab w:val="left" w:pos="0"/>
              </w:tabs>
              <w:rPr>
                <w:b/>
                <w:bCs/>
                <w:i/>
                <w:iCs/>
                <w:sz w:val="22"/>
              </w:rPr>
            </w:pPr>
          </w:p>
        </w:tc>
      </w:tr>
      <w:tr w:rsidR="00A91F1D" w14:paraId="45B9A170" w14:textId="77777777" w:rsidTr="00290330">
        <w:tc>
          <w:tcPr>
            <w:tcW w:w="9741" w:type="dxa"/>
          </w:tcPr>
          <w:p w14:paraId="24A24AF5" w14:textId="77777777" w:rsidR="00A91F1D" w:rsidRDefault="00A91F1D" w:rsidP="00290330">
            <w:pPr>
              <w:tabs>
                <w:tab w:val="left" w:pos="0"/>
              </w:tabs>
              <w:jc w:val="both"/>
              <w:rPr>
                <w:b/>
                <w:i/>
                <w:sz w:val="22"/>
              </w:rPr>
            </w:pPr>
            <w:r>
              <w:rPr>
                <w:b/>
                <w:i/>
                <w:sz w:val="22"/>
              </w:rPr>
              <w:t>7. Ar reikalingas projekto antikorupcinis vertinimas.</w:t>
            </w:r>
          </w:p>
          <w:p w14:paraId="01225566" w14:textId="77777777" w:rsidR="00A91F1D" w:rsidRDefault="00A91F1D" w:rsidP="00290330">
            <w:pPr>
              <w:tabs>
                <w:tab w:val="left" w:pos="0"/>
              </w:tabs>
              <w:jc w:val="both"/>
              <w:rPr>
                <w:sz w:val="22"/>
              </w:rPr>
            </w:pPr>
            <w:r>
              <w:rPr>
                <w:sz w:val="22"/>
              </w:rPr>
              <w:t>Ne</w:t>
            </w:r>
          </w:p>
          <w:p w14:paraId="1D32ECF8" w14:textId="77777777" w:rsidR="00A91F1D" w:rsidRDefault="00A91F1D" w:rsidP="00290330">
            <w:pPr>
              <w:tabs>
                <w:tab w:val="left" w:pos="0"/>
              </w:tabs>
              <w:jc w:val="both"/>
              <w:rPr>
                <w:sz w:val="22"/>
              </w:rPr>
            </w:pPr>
          </w:p>
        </w:tc>
      </w:tr>
      <w:tr w:rsidR="00A91F1D" w14:paraId="45779536" w14:textId="77777777" w:rsidTr="00290330">
        <w:tc>
          <w:tcPr>
            <w:tcW w:w="9741" w:type="dxa"/>
          </w:tcPr>
          <w:p w14:paraId="7D7325A1" w14:textId="77777777" w:rsidR="00A91F1D" w:rsidRDefault="00A91F1D" w:rsidP="00290330">
            <w:pPr>
              <w:tabs>
                <w:tab w:val="left" w:pos="0"/>
              </w:tabs>
              <w:jc w:val="both"/>
              <w:rPr>
                <w:b/>
                <w:i/>
                <w:sz w:val="22"/>
              </w:rPr>
            </w:pPr>
            <w:r>
              <w:rPr>
                <w:b/>
                <w:i/>
                <w:sz w:val="22"/>
              </w:rPr>
              <w:t>8. Projekto iniciatorius, autorius ar autorių grupė.</w:t>
            </w:r>
          </w:p>
        </w:tc>
      </w:tr>
      <w:tr w:rsidR="00A91F1D" w14:paraId="73C7E95E" w14:textId="77777777" w:rsidTr="00290330">
        <w:tc>
          <w:tcPr>
            <w:tcW w:w="9741" w:type="dxa"/>
          </w:tcPr>
          <w:p w14:paraId="17A41F0C" w14:textId="77777777" w:rsidR="00A91F1D" w:rsidRDefault="00A91F1D" w:rsidP="00290330">
            <w:pPr>
              <w:tabs>
                <w:tab w:val="left" w:pos="0"/>
              </w:tabs>
              <w:jc w:val="both"/>
              <w:rPr>
                <w:bCs/>
                <w:iCs/>
                <w:szCs w:val="24"/>
              </w:rPr>
            </w:pPr>
            <w:r>
              <w:rPr>
                <w:szCs w:val="24"/>
              </w:rPr>
              <w:t xml:space="preserve">Jurbarko r. Viešvilės pagrindinės mokyklos </w:t>
            </w:r>
            <w:r w:rsidRPr="00141C87">
              <w:rPr>
                <w:bCs/>
                <w:iCs/>
                <w:szCs w:val="24"/>
              </w:rPr>
              <w:t>direktor</w:t>
            </w:r>
            <w:r>
              <w:rPr>
                <w:bCs/>
                <w:iCs/>
                <w:szCs w:val="24"/>
              </w:rPr>
              <w:t>ė</w:t>
            </w:r>
            <w:r w:rsidRPr="00141C87">
              <w:rPr>
                <w:bCs/>
                <w:iCs/>
                <w:szCs w:val="24"/>
              </w:rPr>
              <w:t xml:space="preserve"> </w:t>
            </w:r>
            <w:r>
              <w:rPr>
                <w:bCs/>
                <w:iCs/>
                <w:szCs w:val="24"/>
              </w:rPr>
              <w:t xml:space="preserve">Rasa </w:t>
            </w:r>
            <w:proofErr w:type="spellStart"/>
            <w:r>
              <w:rPr>
                <w:bCs/>
                <w:iCs/>
                <w:szCs w:val="24"/>
              </w:rPr>
              <w:t>Augustienė</w:t>
            </w:r>
            <w:proofErr w:type="spellEnd"/>
            <w:r w:rsidRPr="00141C87">
              <w:rPr>
                <w:bCs/>
                <w:iCs/>
                <w:szCs w:val="24"/>
              </w:rPr>
              <w:t xml:space="preserve">, Švietimo, kultūros ir sporto skyriaus vyriausioji specialistė Loreta </w:t>
            </w:r>
            <w:proofErr w:type="spellStart"/>
            <w:r w:rsidRPr="00141C87">
              <w:rPr>
                <w:bCs/>
                <w:iCs/>
                <w:szCs w:val="24"/>
              </w:rPr>
              <w:t>Knašienė</w:t>
            </w:r>
            <w:proofErr w:type="spellEnd"/>
          </w:p>
          <w:p w14:paraId="0E47CE74" w14:textId="77777777" w:rsidR="00121A4A" w:rsidRDefault="00121A4A" w:rsidP="00290330">
            <w:pPr>
              <w:tabs>
                <w:tab w:val="left" w:pos="0"/>
              </w:tabs>
              <w:jc w:val="both"/>
              <w:rPr>
                <w:sz w:val="22"/>
              </w:rPr>
            </w:pPr>
          </w:p>
        </w:tc>
      </w:tr>
      <w:tr w:rsidR="00A91F1D" w14:paraId="623EFF9E" w14:textId="77777777" w:rsidTr="00290330">
        <w:tc>
          <w:tcPr>
            <w:tcW w:w="9741" w:type="dxa"/>
          </w:tcPr>
          <w:p w14:paraId="5750A1F3" w14:textId="77777777" w:rsidR="00A91F1D" w:rsidRDefault="00A91F1D" w:rsidP="00290330">
            <w:pPr>
              <w:tabs>
                <w:tab w:val="left" w:pos="0"/>
              </w:tabs>
              <w:rPr>
                <w:b/>
                <w:bCs/>
                <w:i/>
                <w:iCs/>
                <w:sz w:val="22"/>
              </w:rPr>
            </w:pPr>
            <w:r>
              <w:rPr>
                <w:b/>
                <w:bCs/>
                <w:i/>
                <w:iCs/>
                <w:sz w:val="22"/>
              </w:rPr>
              <w:lastRenderedPageBreak/>
              <w:t>9. Kiti, autorių nuomone, reikalingi pagrindimai ir paaiškinimai.</w:t>
            </w:r>
          </w:p>
          <w:p w14:paraId="4B61C935" w14:textId="77777777" w:rsidR="00A91F1D" w:rsidRDefault="00A91F1D" w:rsidP="00290330">
            <w:pPr>
              <w:tabs>
                <w:tab w:val="left" w:pos="0"/>
              </w:tabs>
              <w:jc w:val="both"/>
              <w:rPr>
                <w:szCs w:val="24"/>
              </w:rPr>
            </w:pPr>
            <w:r w:rsidRPr="00551D78">
              <w:rPr>
                <w:szCs w:val="24"/>
              </w:rPr>
              <w:t>Nebuvo</w:t>
            </w:r>
          </w:p>
          <w:p w14:paraId="0170DF9B" w14:textId="77777777" w:rsidR="00A91F1D" w:rsidRDefault="00A91F1D" w:rsidP="00290330">
            <w:pPr>
              <w:tabs>
                <w:tab w:val="left" w:pos="0"/>
              </w:tabs>
              <w:jc w:val="both"/>
              <w:rPr>
                <w:b/>
                <w:bCs/>
                <w:i/>
                <w:iCs/>
                <w:sz w:val="22"/>
              </w:rPr>
            </w:pPr>
          </w:p>
        </w:tc>
      </w:tr>
      <w:tr w:rsidR="00A91F1D" w14:paraId="4E70F181" w14:textId="77777777" w:rsidTr="00290330">
        <w:tc>
          <w:tcPr>
            <w:tcW w:w="9741" w:type="dxa"/>
          </w:tcPr>
          <w:p w14:paraId="25E14717" w14:textId="77777777" w:rsidR="00A91F1D" w:rsidRDefault="00A91F1D" w:rsidP="00290330">
            <w:pPr>
              <w:tabs>
                <w:tab w:val="left" w:pos="0"/>
              </w:tabs>
              <w:jc w:val="both"/>
              <w:rPr>
                <w:b/>
                <w:i/>
                <w:sz w:val="22"/>
              </w:rPr>
            </w:pPr>
            <w:r>
              <w:rPr>
                <w:b/>
                <w:i/>
                <w:sz w:val="22"/>
              </w:rPr>
              <w:t>10. Sprendimas įteikiamas (kam ir kiek egz.).</w:t>
            </w:r>
          </w:p>
        </w:tc>
      </w:tr>
      <w:tr w:rsidR="00A91F1D" w14:paraId="06B39E22" w14:textId="77777777" w:rsidTr="00290330">
        <w:tc>
          <w:tcPr>
            <w:tcW w:w="9741" w:type="dxa"/>
          </w:tcPr>
          <w:p w14:paraId="5DEDCBE3" w14:textId="77777777" w:rsidR="00A91F1D" w:rsidRDefault="00A91F1D" w:rsidP="00290330">
            <w:pPr>
              <w:tabs>
                <w:tab w:val="left" w:pos="0"/>
              </w:tabs>
              <w:jc w:val="both"/>
              <w:rPr>
                <w:b/>
                <w:i/>
                <w:sz w:val="22"/>
              </w:rPr>
            </w:pPr>
            <w:r>
              <w:rPr>
                <w:szCs w:val="24"/>
              </w:rPr>
              <w:t>P</w:t>
            </w:r>
            <w:r w:rsidRPr="002C723D">
              <w:rPr>
                <w:szCs w:val="24"/>
              </w:rPr>
              <w:t>o 1 egz. į bylą, Švietimo, kultūros ir sporto sk</w:t>
            </w:r>
            <w:r>
              <w:rPr>
                <w:szCs w:val="24"/>
              </w:rPr>
              <w:t xml:space="preserve">yriui – per DVS, Jurbarko r. </w:t>
            </w:r>
            <w:r w:rsidR="00CF6F64">
              <w:rPr>
                <w:szCs w:val="24"/>
              </w:rPr>
              <w:t>Viešvilės pagrindinei mokykl</w:t>
            </w:r>
            <w:r>
              <w:rPr>
                <w:szCs w:val="24"/>
              </w:rPr>
              <w:t xml:space="preserve">ai </w:t>
            </w:r>
            <w:r w:rsidRPr="002C723D">
              <w:rPr>
                <w:szCs w:val="24"/>
              </w:rPr>
              <w:t>– el. paštu</w:t>
            </w:r>
            <w:r>
              <w:rPr>
                <w:szCs w:val="24"/>
              </w:rPr>
              <w:t>.</w:t>
            </w:r>
          </w:p>
        </w:tc>
      </w:tr>
    </w:tbl>
    <w:p w14:paraId="33C62996" w14:textId="77777777" w:rsidR="006A29E6" w:rsidRDefault="006A29E6" w:rsidP="006A29E6"/>
    <w:p w14:paraId="543631EA" w14:textId="77777777" w:rsidR="00A91F1D" w:rsidRDefault="00A91F1D" w:rsidP="006A29E6"/>
    <w:p w14:paraId="3E25B05B" w14:textId="77777777" w:rsidR="002E1F99" w:rsidRDefault="002E1F99" w:rsidP="002E1F99">
      <w:pPr>
        <w:tabs>
          <w:tab w:val="left" w:pos="567"/>
        </w:tabs>
      </w:pPr>
    </w:p>
    <w:p w14:paraId="46EB5E70" w14:textId="77777777" w:rsidR="00B668F0" w:rsidRDefault="00B668F0" w:rsidP="00B668F0">
      <w:r>
        <w:t>Parengė</w:t>
      </w:r>
    </w:p>
    <w:p w14:paraId="4E92BE30" w14:textId="77777777" w:rsidR="00B668F0" w:rsidRDefault="00CB165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6E97068F" w14:textId="77777777" w:rsidR="006A29E6" w:rsidRDefault="00CB1658" w:rsidP="00DB3317">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65146A">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9E977" w14:textId="77777777" w:rsidR="0065146A" w:rsidRDefault="0065146A">
      <w:r>
        <w:separator/>
      </w:r>
    </w:p>
  </w:endnote>
  <w:endnote w:type="continuationSeparator" w:id="0">
    <w:p w14:paraId="6B7FED24" w14:textId="77777777" w:rsidR="0065146A" w:rsidRDefault="0065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66254" w14:textId="77777777" w:rsidR="0065146A" w:rsidRDefault="0065146A">
      <w:r>
        <w:separator/>
      </w:r>
    </w:p>
  </w:footnote>
  <w:footnote w:type="continuationSeparator" w:id="0">
    <w:p w14:paraId="606B16C9" w14:textId="77777777" w:rsidR="0065146A" w:rsidRDefault="00651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5F3E0" w14:textId="77777777" w:rsidR="00FC1CD3" w:rsidRDefault="00CB165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F9C7B8"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DCBAE" w14:textId="77777777" w:rsidR="00FC1CD3" w:rsidRDefault="00FC1CD3">
    <w:pPr>
      <w:pStyle w:val="Antrats"/>
      <w:framePr w:wrap="around" w:vAnchor="text" w:hAnchor="margin" w:xAlign="center" w:y="1"/>
      <w:rPr>
        <w:rStyle w:val="Puslapionumeris"/>
      </w:rPr>
    </w:pPr>
  </w:p>
  <w:p w14:paraId="2D2B98DF"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90432621">
    <w:abstractNumId w:val="4"/>
  </w:num>
  <w:num w:numId="2" w16cid:durableId="1549759365">
    <w:abstractNumId w:val="2"/>
  </w:num>
  <w:num w:numId="3" w16cid:durableId="1059745854">
    <w:abstractNumId w:val="5"/>
  </w:num>
  <w:num w:numId="4" w16cid:durableId="1860703861">
    <w:abstractNumId w:val="1"/>
  </w:num>
  <w:num w:numId="5" w16cid:durableId="787505204">
    <w:abstractNumId w:val="7"/>
  </w:num>
  <w:num w:numId="6" w16cid:durableId="452217595">
    <w:abstractNumId w:val="6"/>
  </w:num>
  <w:num w:numId="7" w16cid:durableId="699235496">
    <w:abstractNumId w:val="0"/>
  </w:num>
  <w:num w:numId="8" w16cid:durableId="495263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477E6"/>
    <w:rsid w:val="00073ECC"/>
    <w:rsid w:val="00076A1D"/>
    <w:rsid w:val="000773EB"/>
    <w:rsid w:val="00085739"/>
    <w:rsid w:val="000962B8"/>
    <w:rsid w:val="000E1F44"/>
    <w:rsid w:val="0010176C"/>
    <w:rsid w:val="00107C26"/>
    <w:rsid w:val="00117349"/>
    <w:rsid w:val="00121A4A"/>
    <w:rsid w:val="00124B53"/>
    <w:rsid w:val="0013367C"/>
    <w:rsid w:val="0015078A"/>
    <w:rsid w:val="00152F39"/>
    <w:rsid w:val="0016226A"/>
    <w:rsid w:val="00172D6E"/>
    <w:rsid w:val="00181E5E"/>
    <w:rsid w:val="00182224"/>
    <w:rsid w:val="00186467"/>
    <w:rsid w:val="00190B66"/>
    <w:rsid w:val="001952BC"/>
    <w:rsid w:val="001D4EA6"/>
    <w:rsid w:val="001E0D2C"/>
    <w:rsid w:val="00203CFC"/>
    <w:rsid w:val="00207BCB"/>
    <w:rsid w:val="00221449"/>
    <w:rsid w:val="00226341"/>
    <w:rsid w:val="002325F6"/>
    <w:rsid w:val="00234B9B"/>
    <w:rsid w:val="00246055"/>
    <w:rsid w:val="00251454"/>
    <w:rsid w:val="00281984"/>
    <w:rsid w:val="002930A8"/>
    <w:rsid w:val="002E1F99"/>
    <w:rsid w:val="002E684F"/>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1CDA"/>
    <w:rsid w:val="00454723"/>
    <w:rsid w:val="00460718"/>
    <w:rsid w:val="00470C91"/>
    <w:rsid w:val="00492B94"/>
    <w:rsid w:val="004B0CB9"/>
    <w:rsid w:val="004B1E88"/>
    <w:rsid w:val="004B2369"/>
    <w:rsid w:val="004B3700"/>
    <w:rsid w:val="004B7BDB"/>
    <w:rsid w:val="004D2A79"/>
    <w:rsid w:val="004D450B"/>
    <w:rsid w:val="00501C69"/>
    <w:rsid w:val="005209D1"/>
    <w:rsid w:val="00520A16"/>
    <w:rsid w:val="005231DA"/>
    <w:rsid w:val="00542B92"/>
    <w:rsid w:val="00551276"/>
    <w:rsid w:val="00553547"/>
    <w:rsid w:val="00570AD7"/>
    <w:rsid w:val="00593FFF"/>
    <w:rsid w:val="005B2122"/>
    <w:rsid w:val="005C31CD"/>
    <w:rsid w:val="005D1F24"/>
    <w:rsid w:val="005D5D46"/>
    <w:rsid w:val="005F6C41"/>
    <w:rsid w:val="006046BD"/>
    <w:rsid w:val="006159F1"/>
    <w:rsid w:val="00641E12"/>
    <w:rsid w:val="0065146A"/>
    <w:rsid w:val="00673C21"/>
    <w:rsid w:val="00686E66"/>
    <w:rsid w:val="00697D48"/>
    <w:rsid w:val="006A29E6"/>
    <w:rsid w:val="006B72D3"/>
    <w:rsid w:val="006D11B7"/>
    <w:rsid w:val="006F35F0"/>
    <w:rsid w:val="00712690"/>
    <w:rsid w:val="0073170A"/>
    <w:rsid w:val="00732616"/>
    <w:rsid w:val="00734333"/>
    <w:rsid w:val="00744E20"/>
    <w:rsid w:val="007457FF"/>
    <w:rsid w:val="00747FB0"/>
    <w:rsid w:val="0076196C"/>
    <w:rsid w:val="007679BF"/>
    <w:rsid w:val="00771DAD"/>
    <w:rsid w:val="00776CAF"/>
    <w:rsid w:val="007860A8"/>
    <w:rsid w:val="007B0ED7"/>
    <w:rsid w:val="007E13A9"/>
    <w:rsid w:val="007E57D4"/>
    <w:rsid w:val="008030DA"/>
    <w:rsid w:val="00832B07"/>
    <w:rsid w:val="008554EA"/>
    <w:rsid w:val="00857A58"/>
    <w:rsid w:val="008758B4"/>
    <w:rsid w:val="008770DC"/>
    <w:rsid w:val="00884122"/>
    <w:rsid w:val="00886BBC"/>
    <w:rsid w:val="00886E2F"/>
    <w:rsid w:val="00892223"/>
    <w:rsid w:val="0089276C"/>
    <w:rsid w:val="008962CF"/>
    <w:rsid w:val="00896E6B"/>
    <w:rsid w:val="008A46DA"/>
    <w:rsid w:val="008A4BEF"/>
    <w:rsid w:val="008A7972"/>
    <w:rsid w:val="008B0CDD"/>
    <w:rsid w:val="008B0D02"/>
    <w:rsid w:val="008B7173"/>
    <w:rsid w:val="008C2222"/>
    <w:rsid w:val="008C4BDA"/>
    <w:rsid w:val="008C6DE0"/>
    <w:rsid w:val="008C7ADA"/>
    <w:rsid w:val="008D6AD8"/>
    <w:rsid w:val="008E7416"/>
    <w:rsid w:val="008F0F3E"/>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09D6"/>
    <w:rsid w:val="00A85052"/>
    <w:rsid w:val="00A91F1D"/>
    <w:rsid w:val="00A93FA4"/>
    <w:rsid w:val="00A97DCD"/>
    <w:rsid w:val="00AA2084"/>
    <w:rsid w:val="00AA3BDF"/>
    <w:rsid w:val="00AC442B"/>
    <w:rsid w:val="00AD73BE"/>
    <w:rsid w:val="00AD7C4E"/>
    <w:rsid w:val="00AE072A"/>
    <w:rsid w:val="00AE1124"/>
    <w:rsid w:val="00AE1965"/>
    <w:rsid w:val="00AE2064"/>
    <w:rsid w:val="00AE3E19"/>
    <w:rsid w:val="00AE4BED"/>
    <w:rsid w:val="00AE61D9"/>
    <w:rsid w:val="00B0620E"/>
    <w:rsid w:val="00B137E9"/>
    <w:rsid w:val="00B14102"/>
    <w:rsid w:val="00B3497C"/>
    <w:rsid w:val="00B3631C"/>
    <w:rsid w:val="00B418C7"/>
    <w:rsid w:val="00B42A07"/>
    <w:rsid w:val="00B54A3C"/>
    <w:rsid w:val="00B57A83"/>
    <w:rsid w:val="00B63C6A"/>
    <w:rsid w:val="00B668F0"/>
    <w:rsid w:val="00B728BD"/>
    <w:rsid w:val="00B75B41"/>
    <w:rsid w:val="00B81EF2"/>
    <w:rsid w:val="00B82C13"/>
    <w:rsid w:val="00B8562E"/>
    <w:rsid w:val="00B92B25"/>
    <w:rsid w:val="00B951B0"/>
    <w:rsid w:val="00BA627E"/>
    <w:rsid w:val="00BA7260"/>
    <w:rsid w:val="00BA7D22"/>
    <w:rsid w:val="00BB6943"/>
    <w:rsid w:val="00BF582B"/>
    <w:rsid w:val="00C0081B"/>
    <w:rsid w:val="00C02331"/>
    <w:rsid w:val="00C04267"/>
    <w:rsid w:val="00C13615"/>
    <w:rsid w:val="00C1630A"/>
    <w:rsid w:val="00C31AC9"/>
    <w:rsid w:val="00C42389"/>
    <w:rsid w:val="00C42BD3"/>
    <w:rsid w:val="00C43EC0"/>
    <w:rsid w:val="00C531AF"/>
    <w:rsid w:val="00C61D7C"/>
    <w:rsid w:val="00C64AC0"/>
    <w:rsid w:val="00C65C53"/>
    <w:rsid w:val="00C7179E"/>
    <w:rsid w:val="00C76C50"/>
    <w:rsid w:val="00C800F0"/>
    <w:rsid w:val="00C83B11"/>
    <w:rsid w:val="00C95C12"/>
    <w:rsid w:val="00CB1658"/>
    <w:rsid w:val="00CC0BB5"/>
    <w:rsid w:val="00CE1C9C"/>
    <w:rsid w:val="00CE2BB0"/>
    <w:rsid w:val="00CE349F"/>
    <w:rsid w:val="00CF6F64"/>
    <w:rsid w:val="00D32D0D"/>
    <w:rsid w:val="00D513AA"/>
    <w:rsid w:val="00D52EF0"/>
    <w:rsid w:val="00D75F4B"/>
    <w:rsid w:val="00D76FB4"/>
    <w:rsid w:val="00D82C9A"/>
    <w:rsid w:val="00D93DCC"/>
    <w:rsid w:val="00DA0452"/>
    <w:rsid w:val="00DB3317"/>
    <w:rsid w:val="00DC38E8"/>
    <w:rsid w:val="00DD58E1"/>
    <w:rsid w:val="00DE293E"/>
    <w:rsid w:val="00DF4642"/>
    <w:rsid w:val="00E01F65"/>
    <w:rsid w:val="00E0742E"/>
    <w:rsid w:val="00E12D82"/>
    <w:rsid w:val="00E15F15"/>
    <w:rsid w:val="00E3136B"/>
    <w:rsid w:val="00E32723"/>
    <w:rsid w:val="00E4352B"/>
    <w:rsid w:val="00E46E1F"/>
    <w:rsid w:val="00E72134"/>
    <w:rsid w:val="00E72754"/>
    <w:rsid w:val="00EA6026"/>
    <w:rsid w:val="00EB4A11"/>
    <w:rsid w:val="00EC44AF"/>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6CFA"/>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28081B8"/>
  <w15:docId w15:val="{682078BC-21B7-4139-8670-09AC3308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viesvile.com/vmokykla" TargetMode="External"/><Relationship Id="rId4" Type="http://schemas.openxmlformats.org/officeDocument/2006/relationships/webSettings" Target="webSettings.xml"/><Relationship Id="rId9" Type="http://schemas.openxmlformats.org/officeDocument/2006/relationships/hyperlink" Target="https://viesvile.com/vmokyk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9</Pages>
  <Words>12734</Words>
  <Characters>7259</Characters>
  <Application>Microsoft Office Word</Application>
  <DocSecurity>0</DocSecurity>
  <Lines>60</Lines>
  <Paragraphs>39</Paragraphs>
  <ScaleCrop>false</ScaleCrop>
  <Company>Sveikatos apsaugos ministerija</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2024-04-15T13:30:00Z</dcterms:created>
  <dcterms:modified xsi:type="dcterms:W3CDTF">2024-04-15T13:30:00Z</dcterms:modified>
</cp:coreProperties>
</file>