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D4023" w14:textId="77777777" w:rsidR="008824B5" w:rsidRDefault="003109D7" w:rsidP="008824B5">
      <w:pPr>
        <w:pStyle w:val="Pavadinimas"/>
        <w:jc w:val="left"/>
        <w:rPr>
          <w:b w:val="0"/>
        </w:rPr>
      </w:pPr>
      <w:r>
        <w:rPr>
          <w:b w:val="0"/>
        </w:rPr>
        <w:t xml:space="preserve"> </w:t>
      </w:r>
    </w:p>
    <w:p w14:paraId="1AF24BD2" w14:textId="77777777" w:rsidR="008824B5" w:rsidRDefault="008824B5" w:rsidP="008824B5">
      <w:pPr>
        <w:pStyle w:val="Pavadinimas"/>
        <w:pBdr>
          <w:bottom w:val="single" w:sz="12" w:space="1" w:color="auto"/>
        </w:pBdr>
      </w:pPr>
      <w:r>
        <w:t>JURBARKO RAJONO SAVIVALDYBĖS ADMINISTRACIJOS</w:t>
      </w:r>
    </w:p>
    <w:p w14:paraId="5C53673E" w14:textId="77777777" w:rsidR="008824B5" w:rsidRDefault="008824B5" w:rsidP="008824B5">
      <w:pPr>
        <w:pStyle w:val="Pavadinimas"/>
        <w:pBdr>
          <w:bottom w:val="single" w:sz="12" w:space="1" w:color="auto"/>
        </w:pBdr>
      </w:pPr>
      <w:r>
        <w:t xml:space="preserve">INFRASTUKTŪROS IR </w:t>
      </w:r>
      <w:r w:rsidR="00600F29">
        <w:t>TURTO</w:t>
      </w:r>
      <w:r>
        <w:t xml:space="preserve"> SKYRIUS</w:t>
      </w:r>
    </w:p>
    <w:p w14:paraId="06AC98F5" w14:textId="77777777" w:rsidR="008824B5" w:rsidRDefault="008824B5" w:rsidP="008824B5">
      <w:pPr>
        <w:pStyle w:val="Pavadinimas"/>
        <w:pBdr>
          <w:bottom w:val="single" w:sz="12" w:space="1" w:color="auto"/>
        </w:pBdr>
      </w:pPr>
    </w:p>
    <w:p w14:paraId="2674A3E8" w14:textId="77777777" w:rsidR="008824B5" w:rsidRDefault="008824B5" w:rsidP="008824B5">
      <w:pPr>
        <w:pStyle w:val="Paantrat"/>
      </w:pPr>
    </w:p>
    <w:p w14:paraId="63C0B7E5" w14:textId="77777777" w:rsidR="008824B5" w:rsidRDefault="008824B5" w:rsidP="008824B5">
      <w:pPr>
        <w:pStyle w:val="Paantrat"/>
      </w:pPr>
      <w:r>
        <w:t>AIŠKINAMASIS RAŠTAS</w:t>
      </w:r>
    </w:p>
    <w:p w14:paraId="735BCA5E" w14:textId="77777777" w:rsidR="008824B5" w:rsidRDefault="008824B5" w:rsidP="008824B5">
      <w:pPr>
        <w:jc w:val="center"/>
        <w:rPr>
          <w:caps/>
        </w:rPr>
      </w:pPr>
    </w:p>
    <w:p w14:paraId="236F73DB" w14:textId="77777777" w:rsidR="008824B5" w:rsidRDefault="008824B5" w:rsidP="00792368">
      <w:pPr>
        <w:jc w:val="center"/>
        <w:rPr>
          <w:b/>
          <w:szCs w:val="24"/>
        </w:rPr>
      </w:pPr>
      <w:r>
        <w:rPr>
          <w:b/>
          <w:szCs w:val="24"/>
        </w:rPr>
        <w:t>PRIE JURBARKO RAJONO SAVIVALDYBĖS TARYBOS SPRENDIMO</w:t>
      </w:r>
    </w:p>
    <w:p w14:paraId="05BC6E35" w14:textId="77777777" w:rsidR="00BA2F07" w:rsidRPr="009B2A1A" w:rsidRDefault="00BA2F07" w:rsidP="00BA2F07">
      <w:pPr>
        <w:widowControl w:val="0"/>
        <w:tabs>
          <w:tab w:val="center" w:pos="0"/>
          <w:tab w:val="left" w:pos="1134"/>
          <w:tab w:val="center" w:pos="4153"/>
          <w:tab w:val="right" w:pos="8306"/>
        </w:tabs>
        <w:jc w:val="center"/>
        <w:rPr>
          <w:b/>
          <w:shd w:val="clear" w:color="auto" w:fill="BFBFBF"/>
        </w:rPr>
      </w:pPr>
      <w:r w:rsidRPr="009B2A1A">
        <w:rPr>
          <w:b/>
          <w:shd w:val="clear" w:color="auto" w:fill="BFBFBF"/>
        </w:rPr>
        <w:t>„DĖL JURBARKO RAJONO SAVIVALDYBĖS SUTIKIMŲ VALSTYBINĖJE ŽEMĖJE STATYTI ĮVAIRIUS STATINIUS IR ĮRENGTI ĮRENGINIUS (PVZ., HIDROTECHNIKOS STATINIUS, KITUS INŽINERINIUS STATINIUS IR KT.) IŠDAVIMO TAISYKLIŲ“ PATVIRTINIMO</w:t>
      </w:r>
    </w:p>
    <w:p w14:paraId="28DC8BF8" w14:textId="77777777" w:rsidR="00BA2F07" w:rsidRDefault="00BA2F07" w:rsidP="00BA2F07">
      <w:pPr>
        <w:jc w:val="center"/>
        <w:rPr>
          <w:b/>
          <w:szCs w:val="24"/>
        </w:rPr>
      </w:pPr>
    </w:p>
    <w:p w14:paraId="2FF28315" w14:textId="77777777" w:rsidR="005E1703" w:rsidRDefault="005E1703" w:rsidP="00792368">
      <w:pPr>
        <w:tabs>
          <w:tab w:val="left" w:pos="0"/>
        </w:tabs>
        <w:jc w:val="center"/>
      </w:pPr>
    </w:p>
    <w:p w14:paraId="059B9C3E" w14:textId="77777777" w:rsidR="003109D7" w:rsidRPr="00BA2F07" w:rsidRDefault="00F10A05" w:rsidP="003109D7">
      <w:pPr>
        <w:tabs>
          <w:tab w:val="left" w:pos="0"/>
        </w:tabs>
        <w:jc w:val="center"/>
      </w:pPr>
      <w:r w:rsidRPr="00BA2F07">
        <w:fldChar w:fldCharType="begin">
          <w:ffData>
            <w:name w:val="NOW_WORD_DATE"/>
            <w:enabled/>
            <w:calcOnExit w:val="0"/>
            <w:textInput>
              <w:default w:val="{$NOW_WORD_DATE}"/>
            </w:textInput>
          </w:ffData>
        </w:fldChar>
      </w:r>
      <w:r w:rsidR="003109D7" w:rsidRPr="00BA2F07">
        <w:instrText xml:space="preserve"> FORMTEXT </w:instrText>
      </w:r>
      <w:r w:rsidRPr="00BA2F07">
        <w:fldChar w:fldCharType="separate"/>
      </w:r>
      <w:r w:rsidR="003109D7" w:rsidRPr="00BA2F07">
        <w:rPr>
          <w:noProof/>
        </w:rPr>
        <w:t>2024 m. kovo 18 d.</w:t>
      </w:r>
      <w:r w:rsidRPr="00BA2F07">
        <w:fldChar w:fldCharType="end"/>
      </w:r>
    </w:p>
    <w:p w14:paraId="3DC5A14F" w14:textId="77777777" w:rsidR="008824B5" w:rsidRPr="003109D7" w:rsidRDefault="008824B5" w:rsidP="008824B5">
      <w:pPr>
        <w:tabs>
          <w:tab w:val="left" w:pos="0"/>
        </w:tabs>
        <w:jc w:val="center"/>
        <w:rPr>
          <w:color w:val="FF0000"/>
        </w:rPr>
      </w:pPr>
      <w:r>
        <w:t>Jurbarkas</w:t>
      </w:r>
    </w:p>
    <w:p w14:paraId="61CA22AC" w14:textId="77777777" w:rsidR="008824B5" w:rsidRDefault="008824B5" w:rsidP="008824B5">
      <w:pPr>
        <w:tabs>
          <w:tab w:val="left" w:pos="0"/>
        </w:tabs>
        <w:jc w:val="center"/>
      </w:pPr>
    </w:p>
    <w:tbl>
      <w:tblPr>
        <w:tblW w:w="0" w:type="auto"/>
        <w:tblLook w:val="04A0" w:firstRow="1" w:lastRow="0" w:firstColumn="1" w:lastColumn="0" w:noHBand="0" w:noVBand="1"/>
      </w:tblPr>
      <w:tblGrid>
        <w:gridCol w:w="9525"/>
      </w:tblGrid>
      <w:tr w:rsidR="008824B5" w14:paraId="17453615" w14:textId="77777777" w:rsidTr="008824B5">
        <w:tc>
          <w:tcPr>
            <w:tcW w:w="9525" w:type="dxa"/>
          </w:tcPr>
          <w:p w14:paraId="22A10B8F" w14:textId="77777777" w:rsidR="008824B5" w:rsidRPr="009B2A1A" w:rsidRDefault="008824B5">
            <w:pPr>
              <w:spacing w:line="276" w:lineRule="auto"/>
              <w:ind w:firstLine="720"/>
              <w:jc w:val="both"/>
              <w:rPr>
                <w:kern w:val="2"/>
                <w:szCs w:val="24"/>
                <w:lang w:eastAsia="en-US"/>
              </w:rPr>
            </w:pPr>
            <w:r w:rsidRPr="009B2A1A">
              <w:rPr>
                <w:b/>
                <w:bCs/>
                <w:i/>
                <w:iCs/>
                <w:kern w:val="2"/>
                <w:sz w:val="22"/>
                <w:lang w:eastAsia="en-US"/>
              </w:rPr>
              <w:t xml:space="preserve">1. Parengto projekto tikslai ir uždaviniai. </w:t>
            </w:r>
            <w:r w:rsidR="00F44F13" w:rsidRPr="009B2A1A">
              <w:rPr>
                <w:spacing w:val="2"/>
                <w:kern w:val="2"/>
                <w:szCs w:val="24"/>
                <w:shd w:val="clear" w:color="auto" w:fill="FFFFFF"/>
                <w:lang w:eastAsia="en-US"/>
              </w:rPr>
              <w:t>P</w:t>
            </w:r>
            <w:r w:rsidRPr="009B2A1A">
              <w:rPr>
                <w:spacing w:val="2"/>
                <w:kern w:val="2"/>
                <w:szCs w:val="24"/>
                <w:shd w:val="clear" w:color="auto" w:fill="FFFFFF"/>
                <w:lang w:eastAsia="en-US"/>
              </w:rPr>
              <w:t>atvirtinti</w:t>
            </w:r>
            <w:r w:rsidRPr="009B2A1A">
              <w:rPr>
                <w:color w:val="FF0000"/>
                <w:kern w:val="2"/>
                <w:szCs w:val="24"/>
                <w:lang w:eastAsia="en-US"/>
              </w:rPr>
              <w:t xml:space="preserve"> </w:t>
            </w:r>
            <w:r w:rsidRPr="009B2A1A">
              <w:rPr>
                <w:kern w:val="2"/>
                <w:szCs w:val="24"/>
                <w:lang w:eastAsia="en-US"/>
              </w:rPr>
              <w:t xml:space="preserve">Jurbarko rajono savivaldybės </w:t>
            </w:r>
            <w:r w:rsidR="00792368" w:rsidRPr="009B2A1A">
              <w:rPr>
                <w:kern w:val="2"/>
                <w:szCs w:val="24"/>
                <w:lang w:eastAsia="en-US"/>
              </w:rPr>
              <w:t>sutikimų statyti įvairius statinius ir įrengti įrenginius valstybinėje žemėje (pvz., hidrotechnikos statinius, kitus inžinerinius statinius ir kt.) išdavimo taisykles.</w:t>
            </w:r>
          </w:p>
        </w:tc>
      </w:tr>
      <w:tr w:rsidR="008824B5" w14:paraId="73DC05DB" w14:textId="77777777" w:rsidTr="008824B5">
        <w:tc>
          <w:tcPr>
            <w:tcW w:w="9525" w:type="dxa"/>
          </w:tcPr>
          <w:p w14:paraId="553881E5" w14:textId="77777777" w:rsidR="008824B5" w:rsidRPr="009B2A1A" w:rsidRDefault="008824B5">
            <w:pPr>
              <w:tabs>
                <w:tab w:val="left" w:pos="0"/>
              </w:tabs>
              <w:spacing w:line="256" w:lineRule="auto"/>
              <w:jc w:val="both"/>
              <w:rPr>
                <w:kern w:val="2"/>
                <w:sz w:val="22"/>
                <w:lang w:eastAsia="en-US"/>
              </w:rPr>
            </w:pPr>
          </w:p>
        </w:tc>
      </w:tr>
      <w:tr w:rsidR="008824B5" w14:paraId="3140196C" w14:textId="77777777" w:rsidTr="008824B5">
        <w:tc>
          <w:tcPr>
            <w:tcW w:w="9525" w:type="dxa"/>
          </w:tcPr>
          <w:p w14:paraId="5AD99054" w14:textId="77777777" w:rsidR="008824B5" w:rsidRPr="009B2A1A" w:rsidRDefault="008824B5" w:rsidP="00BA0E73">
            <w:pPr>
              <w:tabs>
                <w:tab w:val="left" w:pos="709"/>
                <w:tab w:val="left" w:pos="851"/>
              </w:tabs>
              <w:spacing w:line="276" w:lineRule="auto"/>
              <w:ind w:firstLine="720"/>
              <w:jc w:val="both"/>
              <w:rPr>
                <w:spacing w:val="2"/>
                <w:kern w:val="2"/>
                <w:szCs w:val="24"/>
                <w:shd w:val="clear" w:color="auto" w:fill="FFFFFF"/>
                <w:lang w:eastAsia="en-US"/>
              </w:rPr>
            </w:pPr>
            <w:r w:rsidRPr="009B2A1A">
              <w:rPr>
                <w:b/>
                <w:bCs/>
                <w:i/>
                <w:iCs/>
                <w:kern w:val="2"/>
                <w:sz w:val="22"/>
                <w:lang w:eastAsia="en-US"/>
              </w:rPr>
              <w:t xml:space="preserve">2. Kaip šiuo metu yra sureguliuoti projekte aptarti klausimai. </w:t>
            </w:r>
            <w:r w:rsidRPr="009B2A1A">
              <w:rPr>
                <w:spacing w:val="2"/>
                <w:kern w:val="2"/>
                <w:szCs w:val="24"/>
                <w:shd w:val="clear" w:color="auto" w:fill="FFFFFF"/>
                <w:lang w:eastAsia="en-US"/>
              </w:rPr>
              <w:t>nuo 2024 m. sausio 1 d. miestų ir miestelių teritorijų administracinėse ribose esanti valstybinė žemė patikėjimo teise perduodama valdyti savivaldybėms. Nacionalinės žemės tarnybos valdyta žemė: tiek registruota Nekilnojamojo turto registre, tiek nesuformuoti žemės plotai, esantys miestų bei miestelių teritorijose, perduodama valdyti savivaldybėms.</w:t>
            </w:r>
            <w:r w:rsidRPr="009B2A1A">
              <w:rPr>
                <w:kern w:val="2"/>
                <w:szCs w:val="24"/>
                <w:lang w:eastAsia="en-US"/>
              </w:rPr>
              <w:t xml:space="preserve"> Savivaldybė </w:t>
            </w:r>
            <w:r w:rsidRPr="009B2A1A">
              <w:rPr>
                <w:spacing w:val="2"/>
                <w:kern w:val="2"/>
                <w:szCs w:val="24"/>
                <w:shd w:val="clear" w:color="auto" w:fill="FFFFFF"/>
                <w:lang w:eastAsia="en-US"/>
              </w:rPr>
              <w:t xml:space="preserve">koordinuos ir sutikimus. Iki </w:t>
            </w:r>
            <w:r w:rsidR="00BA0E73" w:rsidRPr="009B2A1A">
              <w:rPr>
                <w:spacing w:val="2"/>
                <w:kern w:val="2"/>
                <w:szCs w:val="24"/>
                <w:shd w:val="clear" w:color="auto" w:fill="FFFFFF"/>
                <w:lang w:eastAsia="en-US"/>
              </w:rPr>
              <w:br/>
            </w:r>
            <w:r w:rsidRPr="009B2A1A">
              <w:rPr>
                <w:spacing w:val="2"/>
                <w:kern w:val="2"/>
                <w:szCs w:val="24"/>
                <w:shd w:val="clear" w:color="auto" w:fill="FFFFFF"/>
                <w:lang w:eastAsia="en-US"/>
              </w:rPr>
              <w:t xml:space="preserve">2024 m. sausio 1 d. </w:t>
            </w:r>
            <w:r w:rsidR="00F44F13" w:rsidRPr="009B2A1A">
              <w:rPr>
                <w:spacing w:val="2"/>
                <w:kern w:val="2"/>
                <w:szCs w:val="24"/>
                <w:shd w:val="clear" w:color="auto" w:fill="FFFFFF"/>
                <w:lang w:eastAsia="en-US"/>
              </w:rPr>
              <w:t>s</w:t>
            </w:r>
            <w:r w:rsidRPr="009B2A1A">
              <w:rPr>
                <w:rFonts w:eastAsia="Calibri"/>
                <w:kern w:val="2"/>
                <w:szCs w:val="24"/>
                <w:lang w:eastAsia="en-US"/>
              </w:rPr>
              <w:t>utikimus</w:t>
            </w:r>
            <w:r w:rsidRPr="009B2A1A">
              <w:rPr>
                <w:kern w:val="2"/>
                <w:szCs w:val="24"/>
                <w:lang w:eastAsia="en-US"/>
              </w:rPr>
              <w:t xml:space="preserve"> statyti</w:t>
            </w:r>
            <w:r w:rsidR="009F7415" w:rsidRPr="009B2A1A">
              <w:rPr>
                <w:kern w:val="2"/>
                <w:szCs w:val="24"/>
                <w:lang w:eastAsia="en-US"/>
              </w:rPr>
              <w:t xml:space="preserve"> įvairius statinius ir įrengti įrenginius </w:t>
            </w:r>
            <w:r w:rsidR="003F7015" w:rsidRPr="009B2A1A">
              <w:rPr>
                <w:kern w:val="2"/>
                <w:szCs w:val="24"/>
                <w:lang w:eastAsia="en-US"/>
              </w:rPr>
              <w:t>valstybinėje žemėje</w:t>
            </w:r>
            <w:r w:rsidRPr="009B2A1A">
              <w:rPr>
                <w:kern w:val="2"/>
                <w:szCs w:val="24"/>
                <w:lang w:eastAsia="en-US"/>
              </w:rPr>
              <w:t xml:space="preserve">, kurioje nesuformuoti žemės sklypai, </w:t>
            </w:r>
            <w:r w:rsidRPr="009B2A1A">
              <w:rPr>
                <w:rFonts w:eastAsia="Calibri"/>
                <w:kern w:val="2"/>
                <w:szCs w:val="24"/>
                <w:lang w:eastAsia="en-US"/>
              </w:rPr>
              <w:t xml:space="preserve">išduodavo Nacionalinės žemės tarnybos teritoriniai skyriai, vadovaudamiesi išdavimo taisyklėmis, patvirtintomis Nacionalinės žemės tarnybos prie Žemės ūkio ministerijos direktoriaus </w:t>
            </w:r>
            <w:r w:rsidRPr="009B2A1A">
              <w:rPr>
                <w:kern w:val="2"/>
                <w:szCs w:val="24"/>
                <w:lang w:eastAsia="en-US"/>
              </w:rPr>
              <w:t>201</w:t>
            </w:r>
            <w:r w:rsidR="003F7015" w:rsidRPr="009B2A1A">
              <w:rPr>
                <w:kern w:val="2"/>
                <w:szCs w:val="24"/>
                <w:lang w:eastAsia="en-US"/>
              </w:rPr>
              <w:t>8</w:t>
            </w:r>
            <w:r w:rsidRPr="009B2A1A">
              <w:rPr>
                <w:kern w:val="2"/>
                <w:szCs w:val="24"/>
                <w:lang w:eastAsia="en-US"/>
              </w:rPr>
              <w:t xml:space="preserve"> m. </w:t>
            </w:r>
            <w:r w:rsidR="003F7015" w:rsidRPr="009B2A1A">
              <w:rPr>
                <w:kern w:val="2"/>
                <w:szCs w:val="24"/>
                <w:lang w:eastAsia="en-US"/>
              </w:rPr>
              <w:t>gegužės 16</w:t>
            </w:r>
            <w:r w:rsidRPr="009B2A1A">
              <w:rPr>
                <w:kern w:val="2"/>
                <w:szCs w:val="24"/>
                <w:lang w:eastAsia="en-US"/>
              </w:rPr>
              <w:t xml:space="preserve"> d. įsakymu Nr. 1P-</w:t>
            </w:r>
            <w:r w:rsidR="003F7015" w:rsidRPr="009B2A1A">
              <w:rPr>
                <w:kern w:val="2"/>
                <w:szCs w:val="24"/>
                <w:lang w:eastAsia="en-US"/>
              </w:rPr>
              <w:t>238-</w:t>
            </w:r>
            <w:r w:rsidRPr="009B2A1A">
              <w:rPr>
                <w:kern w:val="2"/>
                <w:szCs w:val="24"/>
                <w:lang w:eastAsia="en-US"/>
              </w:rPr>
              <w:t>(1.3</w:t>
            </w:r>
            <w:r w:rsidR="003F7015" w:rsidRPr="009B2A1A">
              <w:rPr>
                <w:kern w:val="2"/>
                <w:szCs w:val="24"/>
                <w:lang w:eastAsia="en-US"/>
              </w:rPr>
              <w:t>E</w:t>
            </w:r>
            <w:r w:rsidRPr="009B2A1A">
              <w:rPr>
                <w:kern w:val="2"/>
                <w:szCs w:val="24"/>
                <w:lang w:eastAsia="en-US"/>
              </w:rPr>
              <w:t xml:space="preserve">.) „Dėl sutikimų statyti </w:t>
            </w:r>
            <w:r w:rsidR="009F7415" w:rsidRPr="009B2A1A">
              <w:rPr>
                <w:kern w:val="2"/>
                <w:szCs w:val="24"/>
                <w:lang w:eastAsia="en-US"/>
              </w:rPr>
              <w:t xml:space="preserve">įvairius statinius ir įrengti įrenginius </w:t>
            </w:r>
            <w:r w:rsidR="0015686D" w:rsidRPr="009B2A1A">
              <w:rPr>
                <w:kern w:val="2"/>
                <w:szCs w:val="24"/>
                <w:lang w:eastAsia="en-US"/>
              </w:rPr>
              <w:t xml:space="preserve">valstybinėje </w:t>
            </w:r>
            <w:r w:rsidRPr="009B2A1A">
              <w:rPr>
                <w:kern w:val="2"/>
                <w:szCs w:val="24"/>
                <w:lang w:eastAsia="en-US"/>
              </w:rPr>
              <w:t>žemė</w:t>
            </w:r>
            <w:r w:rsidR="0015686D" w:rsidRPr="009B2A1A">
              <w:rPr>
                <w:kern w:val="2"/>
                <w:szCs w:val="24"/>
                <w:lang w:eastAsia="en-US"/>
              </w:rPr>
              <w:t>je</w:t>
            </w:r>
            <w:r w:rsidRPr="009B2A1A">
              <w:rPr>
                <w:kern w:val="2"/>
                <w:szCs w:val="24"/>
                <w:lang w:eastAsia="en-US"/>
              </w:rPr>
              <w:t>, kurioje nesuformuoti žemės sklypai, išdavimo taisyklių patvirtinimo“. S</w:t>
            </w:r>
            <w:r w:rsidRPr="009B2A1A">
              <w:rPr>
                <w:spacing w:val="2"/>
                <w:kern w:val="2"/>
                <w:szCs w:val="24"/>
                <w:shd w:val="clear" w:color="auto" w:fill="FFFFFF"/>
                <w:lang w:eastAsia="en-US"/>
              </w:rPr>
              <w:t>avivaldybė turi pasirengti pokyčiams – pasirengti teisės aktus, reglamentuojančius vidinius procesus.</w:t>
            </w:r>
          </w:p>
          <w:p w14:paraId="6782C466" w14:textId="77777777" w:rsidR="00594B93" w:rsidRDefault="008824B5" w:rsidP="00BA0E73">
            <w:pPr>
              <w:spacing w:line="276" w:lineRule="auto"/>
              <w:ind w:firstLine="720"/>
              <w:jc w:val="both"/>
              <w:rPr>
                <w:szCs w:val="24"/>
              </w:rPr>
            </w:pPr>
            <w:r w:rsidRPr="009B2A1A">
              <w:rPr>
                <w:bCs/>
                <w:kern w:val="2"/>
                <w:szCs w:val="24"/>
                <w:lang w:eastAsia="en-US"/>
              </w:rPr>
              <w:t xml:space="preserve">Lietuvos Respublikos žemės įstatymo 7 straipsnio 1 dalies 2 punktu nustatyta, kad Valstybinės žemės valdymas, naudojimas ir disponavimas ja patikėjimo teise, </w:t>
            </w:r>
            <w:r w:rsidRPr="009B2A1A">
              <w:rPr>
                <w:kern w:val="2"/>
                <w:szCs w:val="24"/>
                <w:lang w:eastAsia="en-US"/>
              </w:rPr>
              <w:t>Valstybinės žemės patikėjimo teisės subjektai (patikėtiniai) yra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 taip pat 34 straipsnio</w:t>
            </w:r>
            <w:r w:rsidRPr="009B2A1A">
              <w:rPr>
                <w:bCs/>
                <w:kern w:val="2"/>
                <w:lang w:eastAsia="en-US"/>
              </w:rPr>
              <w:t xml:space="preserve"> </w:t>
            </w:r>
            <w:r w:rsidRPr="009B2A1A">
              <w:rPr>
                <w:kern w:val="2"/>
                <w:lang w:eastAsia="en-US"/>
              </w:rPr>
              <w:t xml:space="preserve">1 dalimi  reglamentuojama, Žemės informacinės sistemos paskirtis – efektyviai planuoti, valdyti ir administruoti valstybinę žemę, elektroninėmis priemonėmis užtikrinti vieningą žemės administravimo ir tvarkymo procesą ir valstybinės žemės patikėtinių įgyvendinimo funkcijas bei jų kontrolę ir žemės naudojimo valstybinę priežiūrą, taip pat tvarkyti ir teikti naudotojams informaciją apie Lietuvos Respublikos žemės fondą, žemės </w:t>
            </w:r>
            <w:r w:rsidRPr="009B2A1A">
              <w:rPr>
                <w:kern w:val="2"/>
                <w:lang w:eastAsia="en-US"/>
              </w:rPr>
              <w:lastRenderedPageBreak/>
              <w:t>naudmenų sudėtį ir kitą informaciją apie žemę. Žemės valdymo ir naudojimo funkcijos, įskaitant ir valstybinės žemės patikėtinių  sutikimų, susitarimų ar sutarčių teikimą, vykdomos naudojantis Žemės informacine sistema. Valstybinės žemės patikėtinių sutikimai, išskyrus atvejus, kai dėl jų kreipiamasi kartu pateikiant prašymą išduoti statybą leidžiantį dokumentą, išduodami atitinkamo patikėtinio nustatyta tvarka ir sprendimas dėl sutikimo išdavimo arba atsisakymo jį išduoti, priimamas ne vėliau kaip per 10 darbo dienų nuo prašymo išduoti sutikimą gavimo dienos).</w:t>
            </w:r>
            <w:r w:rsidR="00784B5E" w:rsidRPr="009B2A1A">
              <w:rPr>
                <w:kern w:val="2"/>
                <w:lang w:eastAsia="en-US"/>
              </w:rPr>
              <w:t xml:space="preserve"> Lietuvos Respublikos vietos savivaldos įstatymo 15 straipsnio 2 dalies 20 punktas</w:t>
            </w:r>
            <w:r w:rsidR="00784B5E">
              <w:t>, i</w:t>
            </w:r>
            <w:r w:rsidR="00784B5E">
              <w:rPr>
                <w:bCs/>
                <w:szCs w:val="24"/>
              </w:rPr>
              <w:t xml:space="preserve">šimtinė savivaldybės tarybos kompetencija: </w:t>
            </w:r>
            <w:r w:rsidR="00784B5E">
              <w:rPr>
                <w:szCs w:val="24"/>
              </w:rPr>
              <w:t xml:space="preserve">sprendimų dėl savivaldybei </w:t>
            </w:r>
            <w:r w:rsidR="00784B5E">
              <w:rPr>
                <w:bCs/>
                <w:szCs w:val="24"/>
              </w:rPr>
              <w:t xml:space="preserve">patikėjimo teise perduotos valstybinės žemės valdymo, naudojimo ir disponavimo ja, išskyrus šio įstatymo 27 straipsnio </w:t>
            </w:r>
            <w:r w:rsidR="00784B5E">
              <w:rPr>
                <w:bCs/>
                <w:szCs w:val="24"/>
              </w:rPr>
              <w:br/>
              <w:t>2 dalies 29 punkte nurodytus sutikimus ir sprendimus, ir sprendimų dėl sutikimo perimti kitą valstybės turtą savivaldybės nuosavybėn</w:t>
            </w:r>
            <w:r w:rsidR="00784B5E">
              <w:rPr>
                <w:szCs w:val="24"/>
              </w:rPr>
              <w:t xml:space="preserve"> priėmimas.</w:t>
            </w:r>
            <w:r w:rsidR="00594B93">
              <w:rPr>
                <w:szCs w:val="24"/>
              </w:rPr>
              <w:t xml:space="preserve"> </w:t>
            </w:r>
            <w:r w:rsidR="00594B93">
              <w:rPr>
                <w:lang w:eastAsia="en-US"/>
              </w:rPr>
              <w:t>Lietuvos Respublikos vietos savivaldos įstatymo 15 straipsnio 2 dalies 20 punktas</w:t>
            </w:r>
            <w:r w:rsidR="00594B93">
              <w:t>, i</w:t>
            </w:r>
            <w:r w:rsidR="00594B93">
              <w:rPr>
                <w:bCs/>
                <w:szCs w:val="24"/>
              </w:rPr>
              <w:t xml:space="preserve">šimtinė savivaldybės tarybos kompetencija: </w:t>
            </w:r>
            <w:r w:rsidR="00594B93">
              <w:rPr>
                <w:szCs w:val="24"/>
              </w:rPr>
              <w:t xml:space="preserve">sprendimų dėl savivaldybei </w:t>
            </w:r>
            <w:r w:rsidR="00594B93">
              <w:rPr>
                <w:bCs/>
                <w:szCs w:val="24"/>
              </w:rPr>
              <w:t>patikėjimo teise perduotos valstybinės žemės valdymo, naudojimo ir disponavimo ja, išskyrus šio įstatymo 27 straipsnio</w:t>
            </w:r>
            <w:r w:rsidR="00BA0E73">
              <w:rPr>
                <w:bCs/>
                <w:szCs w:val="24"/>
              </w:rPr>
              <w:t xml:space="preserve"> </w:t>
            </w:r>
            <w:r w:rsidR="00594B93">
              <w:rPr>
                <w:bCs/>
                <w:szCs w:val="24"/>
              </w:rPr>
              <w:t>2 dalies 29 punkte nurodytus sutikimus ir sprendimus, ir sprendimų dėl sutikimo perimti kitą valstybės turtą savivaldybės nuosavybėn</w:t>
            </w:r>
            <w:r w:rsidR="00594B93">
              <w:rPr>
                <w:szCs w:val="24"/>
              </w:rPr>
              <w:t xml:space="preserve"> priėmimas.</w:t>
            </w:r>
          </w:p>
          <w:p w14:paraId="1EB56DC0" w14:textId="77777777" w:rsidR="008824B5" w:rsidRPr="009B2A1A" w:rsidRDefault="008824B5" w:rsidP="00BA0E73">
            <w:pPr>
              <w:spacing w:line="276" w:lineRule="auto"/>
              <w:ind w:firstLine="720"/>
              <w:jc w:val="both"/>
              <w:rPr>
                <w:kern w:val="2"/>
                <w:szCs w:val="24"/>
                <w:lang w:eastAsia="en-US"/>
              </w:rPr>
            </w:pPr>
            <w:r w:rsidRPr="009B2A1A">
              <w:rPr>
                <w:spacing w:val="2"/>
                <w:kern w:val="2"/>
                <w:szCs w:val="24"/>
                <w:shd w:val="clear" w:color="auto" w:fill="FFFFFF"/>
                <w:lang w:eastAsia="en-US"/>
              </w:rPr>
              <w:t xml:space="preserve">Šiuo sprendimo projektu siūloma patvirtinti </w:t>
            </w:r>
            <w:r w:rsidRPr="009B2A1A">
              <w:rPr>
                <w:kern w:val="2"/>
                <w:szCs w:val="24"/>
                <w:lang w:eastAsia="en-US"/>
              </w:rPr>
              <w:t xml:space="preserve">Jurbarko rajono savivaldybės sutikimų statyti </w:t>
            </w:r>
            <w:r w:rsidR="00125E90" w:rsidRPr="009B2A1A">
              <w:rPr>
                <w:kern w:val="2"/>
                <w:szCs w:val="24"/>
                <w:lang w:eastAsia="en-US"/>
              </w:rPr>
              <w:t xml:space="preserve">įvairius statinius ir įrengti įrenginius </w:t>
            </w:r>
            <w:r w:rsidR="0015686D" w:rsidRPr="009B2A1A">
              <w:rPr>
                <w:kern w:val="2"/>
                <w:szCs w:val="24"/>
                <w:lang w:eastAsia="en-US"/>
              </w:rPr>
              <w:t>valstybinėje žemėje,</w:t>
            </w:r>
            <w:r w:rsidRPr="009B2A1A">
              <w:rPr>
                <w:spacing w:val="2"/>
                <w:kern w:val="2"/>
                <w:szCs w:val="24"/>
                <w:shd w:val="clear" w:color="auto" w:fill="FFFFFF"/>
                <w:lang w:eastAsia="en-US"/>
              </w:rPr>
              <w:t xml:space="preserve"> </w:t>
            </w:r>
            <w:r w:rsidRPr="009B2A1A">
              <w:rPr>
                <w:kern w:val="2"/>
                <w:szCs w:val="24"/>
                <w:lang w:eastAsia="en-US"/>
              </w:rPr>
              <w:t>kurioje nesuformuoti žemės sklypai išdavimo taisykles.</w:t>
            </w:r>
          </w:p>
        </w:tc>
      </w:tr>
      <w:tr w:rsidR="008824B5" w14:paraId="644563EA" w14:textId="77777777" w:rsidTr="008824B5">
        <w:tc>
          <w:tcPr>
            <w:tcW w:w="9525" w:type="dxa"/>
          </w:tcPr>
          <w:p w14:paraId="031C0055" w14:textId="77777777" w:rsidR="008824B5" w:rsidRPr="009B2A1A" w:rsidRDefault="008824B5" w:rsidP="00BA0E73">
            <w:pPr>
              <w:spacing w:line="276" w:lineRule="auto"/>
              <w:jc w:val="both"/>
              <w:rPr>
                <w:kern w:val="2"/>
                <w:sz w:val="22"/>
                <w:lang w:eastAsia="en-US"/>
              </w:rPr>
            </w:pPr>
          </w:p>
        </w:tc>
      </w:tr>
      <w:tr w:rsidR="008824B5" w14:paraId="6D896079" w14:textId="77777777" w:rsidTr="008824B5">
        <w:tc>
          <w:tcPr>
            <w:tcW w:w="9525" w:type="dxa"/>
          </w:tcPr>
          <w:p w14:paraId="5516FA33" w14:textId="77777777" w:rsidR="008824B5" w:rsidRPr="009B2A1A" w:rsidRDefault="008824B5" w:rsidP="00BA0E73">
            <w:pPr>
              <w:spacing w:line="276" w:lineRule="auto"/>
              <w:ind w:firstLine="720"/>
              <w:jc w:val="both"/>
              <w:rPr>
                <w:kern w:val="2"/>
                <w:szCs w:val="24"/>
                <w:lang w:eastAsia="en-US"/>
              </w:rPr>
            </w:pPr>
            <w:r w:rsidRPr="009B2A1A">
              <w:rPr>
                <w:b/>
                <w:bCs/>
                <w:i/>
                <w:iCs/>
                <w:kern w:val="2"/>
                <w:sz w:val="22"/>
                <w:lang w:eastAsia="en-US"/>
              </w:rPr>
              <w:t xml:space="preserve">3. Kokių pozityvių rezultatų laukiama. </w:t>
            </w:r>
            <w:r w:rsidRPr="009B2A1A">
              <w:rPr>
                <w:kern w:val="2"/>
                <w:szCs w:val="24"/>
                <w:lang w:eastAsia="en-US"/>
              </w:rPr>
              <w:t>Bus reglamentuotas</w:t>
            </w:r>
            <w:r w:rsidRPr="009B2A1A">
              <w:rPr>
                <w:kern w:val="2"/>
                <w:sz w:val="22"/>
                <w:lang w:eastAsia="en-US"/>
              </w:rPr>
              <w:t xml:space="preserve"> </w:t>
            </w:r>
            <w:r w:rsidRPr="009B2A1A">
              <w:rPr>
                <w:kern w:val="2"/>
                <w:szCs w:val="24"/>
                <w:lang w:eastAsia="en-US"/>
              </w:rPr>
              <w:t>sutikimų</w:t>
            </w:r>
            <w:r w:rsidR="0015686D" w:rsidRPr="009B2A1A">
              <w:rPr>
                <w:kern w:val="2"/>
                <w:szCs w:val="24"/>
                <w:lang w:eastAsia="en-US"/>
              </w:rPr>
              <w:t xml:space="preserve"> statyti </w:t>
            </w:r>
            <w:r w:rsidR="00125E90" w:rsidRPr="009B2A1A">
              <w:rPr>
                <w:kern w:val="2"/>
                <w:szCs w:val="24"/>
                <w:lang w:eastAsia="en-US"/>
              </w:rPr>
              <w:t>įvairius statinius ir įrengti įrenginius</w:t>
            </w:r>
            <w:r w:rsidR="0015686D" w:rsidRPr="009B2A1A">
              <w:rPr>
                <w:kern w:val="2"/>
                <w:szCs w:val="24"/>
                <w:lang w:eastAsia="en-US"/>
              </w:rPr>
              <w:t xml:space="preserve"> valstybinėje žemėje</w:t>
            </w:r>
            <w:r w:rsidRPr="009B2A1A">
              <w:rPr>
                <w:kern w:val="2"/>
                <w:szCs w:val="24"/>
                <w:lang w:eastAsia="en-US"/>
              </w:rPr>
              <w:t>, kurioje nesuformuoti žemės sklypai</w:t>
            </w:r>
            <w:r w:rsidR="00F44F13" w:rsidRPr="009B2A1A">
              <w:rPr>
                <w:kern w:val="2"/>
                <w:szCs w:val="24"/>
                <w:lang w:eastAsia="en-US"/>
              </w:rPr>
              <w:t>,</w:t>
            </w:r>
            <w:r w:rsidRPr="009B2A1A">
              <w:rPr>
                <w:kern w:val="2"/>
                <w:szCs w:val="24"/>
                <w:lang w:eastAsia="en-US"/>
              </w:rPr>
              <w:t xml:space="preserve"> išdavimas.</w:t>
            </w:r>
          </w:p>
        </w:tc>
      </w:tr>
      <w:tr w:rsidR="008824B5" w14:paraId="203EFB40" w14:textId="77777777" w:rsidTr="008824B5">
        <w:tc>
          <w:tcPr>
            <w:tcW w:w="9525" w:type="dxa"/>
          </w:tcPr>
          <w:p w14:paraId="4A46FC04" w14:textId="77777777" w:rsidR="008824B5" w:rsidRPr="009B2A1A" w:rsidRDefault="008824B5" w:rsidP="00BA0E73">
            <w:pPr>
              <w:tabs>
                <w:tab w:val="left" w:pos="0"/>
              </w:tabs>
              <w:spacing w:line="276" w:lineRule="auto"/>
              <w:jc w:val="both"/>
              <w:rPr>
                <w:kern w:val="2"/>
                <w:sz w:val="22"/>
                <w:lang w:eastAsia="en-US"/>
              </w:rPr>
            </w:pPr>
          </w:p>
        </w:tc>
      </w:tr>
      <w:tr w:rsidR="008824B5" w14:paraId="56E007AA" w14:textId="77777777" w:rsidTr="008824B5">
        <w:tc>
          <w:tcPr>
            <w:tcW w:w="9525" w:type="dxa"/>
          </w:tcPr>
          <w:p w14:paraId="2B3978E7" w14:textId="77777777" w:rsidR="008824B5" w:rsidRPr="009B2A1A" w:rsidRDefault="008824B5" w:rsidP="00BA0E73">
            <w:pPr>
              <w:tabs>
                <w:tab w:val="left" w:pos="0"/>
              </w:tabs>
              <w:spacing w:line="276" w:lineRule="auto"/>
              <w:jc w:val="both"/>
              <w:rPr>
                <w:b/>
                <w:bCs/>
                <w:i/>
                <w:iCs/>
                <w:kern w:val="2"/>
                <w:sz w:val="22"/>
                <w:lang w:eastAsia="en-US"/>
              </w:rPr>
            </w:pPr>
            <w:r w:rsidRPr="009B2A1A">
              <w:rPr>
                <w:b/>
                <w:bCs/>
                <w:i/>
                <w:iCs/>
                <w:kern w:val="2"/>
                <w:sz w:val="22"/>
                <w:lang w:eastAsia="en-US"/>
              </w:rPr>
              <w:t xml:space="preserve">4. Galimos neigiamos priimto projekto pasekmės ir kokių priemonių reikėtų imtis, kad tokių pasekmių būtų išvengta. </w:t>
            </w:r>
            <w:r w:rsidRPr="009B2A1A">
              <w:rPr>
                <w:kern w:val="2"/>
                <w:szCs w:val="24"/>
                <w:lang w:eastAsia="en-US"/>
              </w:rPr>
              <w:t>Neigiamų padarinių dėl priimto sprendimo nenumatyta</w:t>
            </w:r>
            <w:r w:rsidRPr="009B2A1A">
              <w:rPr>
                <w:b/>
                <w:bCs/>
                <w:i/>
                <w:iCs/>
                <w:kern w:val="2"/>
                <w:sz w:val="22"/>
                <w:lang w:eastAsia="en-US"/>
              </w:rPr>
              <w:t>.</w:t>
            </w:r>
          </w:p>
        </w:tc>
      </w:tr>
      <w:tr w:rsidR="008824B5" w14:paraId="7D6C7A00" w14:textId="77777777" w:rsidTr="008824B5">
        <w:tc>
          <w:tcPr>
            <w:tcW w:w="9525" w:type="dxa"/>
          </w:tcPr>
          <w:p w14:paraId="6B92E51D" w14:textId="77777777" w:rsidR="008824B5" w:rsidRPr="009B2A1A" w:rsidRDefault="008824B5" w:rsidP="00BA0E73">
            <w:pPr>
              <w:tabs>
                <w:tab w:val="left" w:pos="0"/>
              </w:tabs>
              <w:spacing w:line="276" w:lineRule="auto"/>
              <w:jc w:val="both"/>
              <w:rPr>
                <w:kern w:val="2"/>
                <w:sz w:val="20"/>
                <w:lang w:eastAsia="en-US"/>
              </w:rPr>
            </w:pPr>
          </w:p>
        </w:tc>
      </w:tr>
      <w:tr w:rsidR="008824B5" w14:paraId="71003E2C" w14:textId="77777777" w:rsidTr="008824B5">
        <w:tc>
          <w:tcPr>
            <w:tcW w:w="9525" w:type="dxa"/>
          </w:tcPr>
          <w:p w14:paraId="45914491" w14:textId="77777777" w:rsidR="008824B5" w:rsidRPr="009B2A1A" w:rsidRDefault="008824B5" w:rsidP="00BA0E73">
            <w:pPr>
              <w:tabs>
                <w:tab w:val="left" w:pos="0"/>
              </w:tabs>
              <w:spacing w:line="276" w:lineRule="auto"/>
              <w:jc w:val="both"/>
              <w:rPr>
                <w:b/>
                <w:bCs/>
                <w:i/>
                <w:iCs/>
                <w:kern w:val="2"/>
                <w:sz w:val="22"/>
                <w:lang w:eastAsia="en-US"/>
              </w:rPr>
            </w:pPr>
            <w:r w:rsidRPr="009B2A1A">
              <w:rPr>
                <w:b/>
                <w:bCs/>
                <w:i/>
                <w:iCs/>
                <w:kern w:val="2"/>
                <w:sz w:val="22"/>
                <w:lang w:eastAsia="en-US"/>
              </w:rPr>
              <w:t xml:space="preserve">5. Kokie šios srities aktai tebegalioja (pateikiamas aktų sąrašas) ir kokius galiojančius aktus būtina pakeisti ar panaikinti, priėmus teikiamą projektą. </w:t>
            </w:r>
            <w:r w:rsidR="00125E90" w:rsidRPr="009B2A1A">
              <w:rPr>
                <w:b/>
                <w:bCs/>
                <w:i/>
                <w:iCs/>
                <w:kern w:val="2"/>
                <w:sz w:val="22"/>
                <w:lang w:eastAsia="en-US"/>
              </w:rPr>
              <w:t xml:space="preserve"> </w:t>
            </w:r>
            <w:r w:rsidR="00125E90" w:rsidRPr="009B2A1A">
              <w:rPr>
                <w:rFonts w:eastAsia="Calibri"/>
                <w:kern w:val="2"/>
                <w:szCs w:val="24"/>
                <w:lang w:eastAsia="en-US"/>
              </w:rPr>
              <w:t xml:space="preserve">Lietuvos Respublikos vietos savivaldos įstatymo </w:t>
            </w:r>
            <w:r w:rsidR="00125E90" w:rsidRPr="009B2A1A">
              <w:rPr>
                <w:rFonts w:eastAsia="Calibri"/>
                <w:kern w:val="2"/>
                <w:szCs w:val="24"/>
                <w:lang w:eastAsia="en-US"/>
              </w:rPr>
              <w:br/>
              <w:t>15 straipsnio 2 dalies 20 punktas,</w:t>
            </w:r>
            <w:r w:rsidR="00125E90" w:rsidRPr="009B2A1A">
              <w:rPr>
                <w:b/>
                <w:bCs/>
                <w:i/>
                <w:iCs/>
                <w:kern w:val="2"/>
                <w:sz w:val="22"/>
                <w:lang w:eastAsia="en-US"/>
              </w:rPr>
              <w:t xml:space="preserve"> </w:t>
            </w:r>
            <w:r w:rsidRPr="009B2A1A">
              <w:rPr>
                <w:color w:val="000000"/>
                <w:kern w:val="2"/>
                <w:szCs w:val="24"/>
                <w:lang w:eastAsia="en-US"/>
              </w:rPr>
              <w:t xml:space="preserve">Lietuvos Respublikos žemės įstatymo </w:t>
            </w:r>
            <w:r w:rsidRPr="009B2A1A">
              <w:rPr>
                <w:rFonts w:eastAsia="Calibri"/>
                <w:kern w:val="2"/>
                <w:szCs w:val="24"/>
                <w:lang w:eastAsia="en-US"/>
              </w:rPr>
              <w:t xml:space="preserve">7 straipsnio 1 dalies </w:t>
            </w:r>
            <w:r w:rsidR="00125E90" w:rsidRPr="009B2A1A">
              <w:rPr>
                <w:rFonts w:eastAsia="Calibri"/>
                <w:kern w:val="2"/>
                <w:szCs w:val="24"/>
                <w:lang w:eastAsia="en-US"/>
              </w:rPr>
              <w:br/>
            </w:r>
            <w:r w:rsidRPr="009B2A1A">
              <w:rPr>
                <w:rFonts w:eastAsia="Calibri"/>
                <w:kern w:val="2"/>
                <w:szCs w:val="24"/>
                <w:lang w:eastAsia="en-US"/>
              </w:rPr>
              <w:t xml:space="preserve">2 punktas, 34 straipsnio 1 dalis </w:t>
            </w:r>
          </w:p>
        </w:tc>
      </w:tr>
      <w:tr w:rsidR="008824B5" w14:paraId="011DDB9B" w14:textId="77777777" w:rsidTr="008824B5">
        <w:tc>
          <w:tcPr>
            <w:tcW w:w="9525" w:type="dxa"/>
          </w:tcPr>
          <w:p w14:paraId="315E1379" w14:textId="77777777" w:rsidR="008824B5" w:rsidRPr="009B2A1A" w:rsidRDefault="008824B5" w:rsidP="00BA0E73">
            <w:pPr>
              <w:tabs>
                <w:tab w:val="left" w:pos="0"/>
              </w:tabs>
              <w:spacing w:line="276" w:lineRule="auto"/>
              <w:jc w:val="both"/>
              <w:rPr>
                <w:kern w:val="2"/>
                <w:sz w:val="22"/>
                <w:lang w:eastAsia="en-US"/>
              </w:rPr>
            </w:pPr>
          </w:p>
        </w:tc>
      </w:tr>
      <w:tr w:rsidR="008824B5" w14:paraId="767801BB" w14:textId="77777777" w:rsidTr="008824B5">
        <w:tc>
          <w:tcPr>
            <w:tcW w:w="9525" w:type="dxa"/>
          </w:tcPr>
          <w:p w14:paraId="717E8A32" w14:textId="77777777" w:rsidR="008824B5" w:rsidRPr="009B2A1A" w:rsidRDefault="008824B5" w:rsidP="00BA0E73">
            <w:pPr>
              <w:tabs>
                <w:tab w:val="left" w:pos="0"/>
              </w:tabs>
              <w:spacing w:line="276" w:lineRule="auto"/>
              <w:rPr>
                <w:b/>
                <w:bCs/>
                <w:i/>
                <w:iCs/>
                <w:kern w:val="2"/>
                <w:sz w:val="22"/>
                <w:lang w:eastAsia="en-US"/>
              </w:rPr>
            </w:pPr>
            <w:r w:rsidRPr="009B2A1A">
              <w:rPr>
                <w:b/>
                <w:bCs/>
                <w:i/>
                <w:iCs/>
                <w:kern w:val="2"/>
                <w:sz w:val="22"/>
                <w:lang w:eastAsia="en-US"/>
              </w:rPr>
              <w:t xml:space="preserve">6. Projekto rengimo metu gauti specialistų vertinimai ir išvados, ekonominiai apskaičiavimai (sąmatos), konkretūs finansavimo šaltiniai. </w:t>
            </w:r>
            <w:r w:rsidR="00F44F13" w:rsidRPr="00BA2F07">
              <w:rPr>
                <w:szCs w:val="24"/>
              </w:rPr>
              <w:t>Vertinimų ir išvadų nėra, veiklos finansuoti nereikia.</w:t>
            </w:r>
          </w:p>
          <w:p w14:paraId="1E88858C" w14:textId="77777777" w:rsidR="008824B5" w:rsidRPr="009B2A1A" w:rsidRDefault="008824B5" w:rsidP="00BA0E73">
            <w:pPr>
              <w:tabs>
                <w:tab w:val="left" w:pos="0"/>
              </w:tabs>
              <w:spacing w:line="276" w:lineRule="auto"/>
              <w:rPr>
                <w:b/>
                <w:bCs/>
                <w:i/>
                <w:iCs/>
                <w:kern w:val="2"/>
                <w:sz w:val="22"/>
                <w:lang w:eastAsia="en-US"/>
              </w:rPr>
            </w:pPr>
          </w:p>
        </w:tc>
      </w:tr>
      <w:tr w:rsidR="008824B5" w14:paraId="4B722E96" w14:textId="77777777" w:rsidTr="008824B5">
        <w:tc>
          <w:tcPr>
            <w:tcW w:w="9525" w:type="dxa"/>
          </w:tcPr>
          <w:p w14:paraId="74E753C6" w14:textId="77777777" w:rsidR="008824B5" w:rsidRPr="009B2A1A" w:rsidRDefault="008824B5" w:rsidP="00BA0E73">
            <w:pPr>
              <w:tabs>
                <w:tab w:val="left" w:pos="0"/>
              </w:tabs>
              <w:spacing w:line="276" w:lineRule="auto"/>
              <w:jc w:val="both"/>
              <w:rPr>
                <w:b/>
                <w:i/>
                <w:kern w:val="2"/>
                <w:sz w:val="22"/>
                <w:lang w:eastAsia="en-US"/>
              </w:rPr>
            </w:pPr>
            <w:r w:rsidRPr="009B2A1A">
              <w:rPr>
                <w:b/>
                <w:i/>
                <w:kern w:val="2"/>
                <w:sz w:val="22"/>
                <w:lang w:eastAsia="en-US"/>
              </w:rPr>
              <w:t xml:space="preserve">7. Ar reikalingas projekto antikorupcinis vertinimas. </w:t>
            </w:r>
            <w:r w:rsidRPr="009B2A1A">
              <w:rPr>
                <w:bCs/>
                <w:iCs/>
                <w:kern w:val="2"/>
                <w:szCs w:val="24"/>
                <w:lang w:eastAsia="en-US"/>
              </w:rPr>
              <w:t>Pridedama</w:t>
            </w:r>
          </w:p>
          <w:p w14:paraId="6985C20C" w14:textId="77777777" w:rsidR="008824B5" w:rsidRPr="009B2A1A" w:rsidRDefault="008824B5" w:rsidP="00BA0E73">
            <w:pPr>
              <w:tabs>
                <w:tab w:val="left" w:pos="0"/>
              </w:tabs>
              <w:spacing w:line="276" w:lineRule="auto"/>
              <w:jc w:val="both"/>
              <w:rPr>
                <w:kern w:val="2"/>
                <w:sz w:val="22"/>
                <w:lang w:eastAsia="en-US"/>
              </w:rPr>
            </w:pPr>
          </w:p>
        </w:tc>
      </w:tr>
      <w:tr w:rsidR="008824B5" w14:paraId="0E11E6ED" w14:textId="77777777" w:rsidTr="008824B5">
        <w:tc>
          <w:tcPr>
            <w:tcW w:w="9525" w:type="dxa"/>
          </w:tcPr>
          <w:p w14:paraId="7671FD5E" w14:textId="77777777" w:rsidR="008824B5" w:rsidRPr="009B2A1A" w:rsidRDefault="008824B5" w:rsidP="00BA0E73">
            <w:pPr>
              <w:tabs>
                <w:tab w:val="left" w:pos="0"/>
              </w:tabs>
              <w:spacing w:line="276" w:lineRule="auto"/>
              <w:jc w:val="both"/>
              <w:rPr>
                <w:b/>
                <w:i/>
                <w:kern w:val="2"/>
                <w:sz w:val="22"/>
                <w:lang w:eastAsia="en-US"/>
              </w:rPr>
            </w:pPr>
            <w:r w:rsidRPr="009B2A1A">
              <w:rPr>
                <w:b/>
                <w:i/>
                <w:kern w:val="2"/>
                <w:sz w:val="22"/>
                <w:lang w:eastAsia="en-US"/>
              </w:rPr>
              <w:t xml:space="preserve">8. Projekto iniciatorius, autorius ar autorių grupė. </w:t>
            </w:r>
            <w:r w:rsidRPr="009B2A1A">
              <w:rPr>
                <w:bCs/>
                <w:iCs/>
                <w:kern w:val="2"/>
                <w:szCs w:val="24"/>
                <w:lang w:eastAsia="en-US"/>
              </w:rPr>
              <w:t>Infrastruktūros ir turto skyrius</w:t>
            </w:r>
          </w:p>
        </w:tc>
      </w:tr>
      <w:tr w:rsidR="008824B5" w14:paraId="03F9840E" w14:textId="77777777" w:rsidTr="008824B5">
        <w:tc>
          <w:tcPr>
            <w:tcW w:w="9525" w:type="dxa"/>
          </w:tcPr>
          <w:p w14:paraId="5FD4DB9A" w14:textId="77777777" w:rsidR="008824B5" w:rsidRPr="009B2A1A" w:rsidRDefault="008824B5" w:rsidP="00BA0E73">
            <w:pPr>
              <w:tabs>
                <w:tab w:val="left" w:pos="0"/>
              </w:tabs>
              <w:spacing w:line="276" w:lineRule="auto"/>
              <w:jc w:val="both"/>
              <w:rPr>
                <w:kern w:val="2"/>
                <w:sz w:val="22"/>
                <w:lang w:eastAsia="en-US"/>
              </w:rPr>
            </w:pPr>
          </w:p>
        </w:tc>
      </w:tr>
      <w:tr w:rsidR="008824B5" w14:paraId="591F1731" w14:textId="77777777" w:rsidTr="008824B5">
        <w:tc>
          <w:tcPr>
            <w:tcW w:w="9525" w:type="dxa"/>
          </w:tcPr>
          <w:p w14:paraId="164BD026" w14:textId="77777777" w:rsidR="008824B5" w:rsidRPr="009B2A1A" w:rsidRDefault="008824B5" w:rsidP="00BA0E73">
            <w:pPr>
              <w:tabs>
                <w:tab w:val="left" w:pos="0"/>
              </w:tabs>
              <w:spacing w:line="276" w:lineRule="auto"/>
              <w:rPr>
                <w:b/>
                <w:bCs/>
                <w:i/>
                <w:iCs/>
                <w:kern w:val="2"/>
                <w:sz w:val="22"/>
                <w:lang w:eastAsia="en-US"/>
              </w:rPr>
            </w:pPr>
            <w:r w:rsidRPr="009B2A1A">
              <w:rPr>
                <w:b/>
                <w:bCs/>
                <w:i/>
                <w:iCs/>
                <w:kern w:val="2"/>
                <w:sz w:val="22"/>
                <w:lang w:eastAsia="en-US"/>
              </w:rPr>
              <w:t xml:space="preserve">9. Kiti, autorių nuomone, reikalingi pagrindimai ir paaiškinimai. </w:t>
            </w:r>
            <w:r w:rsidRPr="009B2A1A">
              <w:rPr>
                <w:kern w:val="2"/>
                <w:szCs w:val="24"/>
                <w:lang w:eastAsia="en-US"/>
              </w:rPr>
              <w:t>Nėra</w:t>
            </w:r>
          </w:p>
          <w:p w14:paraId="757D0B15" w14:textId="77777777" w:rsidR="008824B5" w:rsidRPr="009B2A1A" w:rsidRDefault="008824B5" w:rsidP="00BA0E73">
            <w:pPr>
              <w:tabs>
                <w:tab w:val="left" w:pos="0"/>
              </w:tabs>
              <w:spacing w:line="276" w:lineRule="auto"/>
              <w:rPr>
                <w:b/>
                <w:bCs/>
                <w:i/>
                <w:iCs/>
                <w:kern w:val="2"/>
                <w:sz w:val="22"/>
                <w:lang w:eastAsia="en-US"/>
              </w:rPr>
            </w:pPr>
          </w:p>
        </w:tc>
      </w:tr>
      <w:tr w:rsidR="008824B5" w14:paraId="0B5850E3" w14:textId="77777777" w:rsidTr="008824B5">
        <w:tc>
          <w:tcPr>
            <w:tcW w:w="9525" w:type="dxa"/>
          </w:tcPr>
          <w:p w14:paraId="18C9A8AA" w14:textId="77777777" w:rsidR="008824B5" w:rsidRPr="009B2A1A" w:rsidRDefault="008824B5" w:rsidP="00BA0E73">
            <w:pPr>
              <w:tabs>
                <w:tab w:val="left" w:pos="0"/>
              </w:tabs>
              <w:spacing w:line="276" w:lineRule="auto"/>
              <w:jc w:val="both"/>
              <w:rPr>
                <w:b/>
                <w:i/>
                <w:kern w:val="2"/>
                <w:sz w:val="22"/>
                <w:lang w:eastAsia="en-US"/>
              </w:rPr>
            </w:pPr>
            <w:r w:rsidRPr="009B2A1A">
              <w:rPr>
                <w:b/>
                <w:i/>
                <w:kern w:val="2"/>
                <w:sz w:val="22"/>
                <w:lang w:eastAsia="en-US"/>
              </w:rPr>
              <w:t xml:space="preserve">10. Sprendimas įteikiamas (kam ir kiek egz.). </w:t>
            </w:r>
            <w:r w:rsidRPr="009B2A1A">
              <w:rPr>
                <w:bCs/>
                <w:iCs/>
                <w:kern w:val="2"/>
                <w:szCs w:val="24"/>
                <w:lang w:eastAsia="en-US"/>
              </w:rPr>
              <w:t>Infrastruktūros ir turto skyriui</w:t>
            </w:r>
          </w:p>
        </w:tc>
      </w:tr>
      <w:tr w:rsidR="008824B5" w14:paraId="34A646A4" w14:textId="77777777" w:rsidTr="008824B5">
        <w:tc>
          <w:tcPr>
            <w:tcW w:w="9525" w:type="dxa"/>
          </w:tcPr>
          <w:p w14:paraId="5623C0BF" w14:textId="77777777" w:rsidR="008824B5" w:rsidRPr="009B2A1A" w:rsidRDefault="008824B5" w:rsidP="00BA0E73">
            <w:pPr>
              <w:tabs>
                <w:tab w:val="left" w:pos="0"/>
              </w:tabs>
              <w:spacing w:line="276" w:lineRule="auto"/>
              <w:jc w:val="both"/>
              <w:rPr>
                <w:b/>
                <w:i/>
                <w:kern w:val="2"/>
                <w:sz w:val="22"/>
                <w:lang w:eastAsia="en-US"/>
              </w:rPr>
            </w:pPr>
          </w:p>
        </w:tc>
      </w:tr>
      <w:tr w:rsidR="00F44F13" w14:paraId="6137DA4C" w14:textId="77777777" w:rsidTr="00F44F13">
        <w:trPr>
          <w:trHeight w:val="1247"/>
        </w:trPr>
        <w:tc>
          <w:tcPr>
            <w:tcW w:w="9525" w:type="dxa"/>
          </w:tcPr>
          <w:p w14:paraId="69F0C097" w14:textId="77777777" w:rsidR="00F44F13" w:rsidRPr="009B2A1A" w:rsidRDefault="00F44F13">
            <w:pPr>
              <w:spacing w:line="256" w:lineRule="auto"/>
              <w:rPr>
                <w:kern w:val="2"/>
                <w:lang w:eastAsia="en-US"/>
              </w:rPr>
            </w:pPr>
            <w:r w:rsidRPr="009B2A1A">
              <w:rPr>
                <w:kern w:val="2"/>
                <w:lang w:eastAsia="en-US"/>
              </w:rPr>
              <w:t>Parengė</w:t>
            </w:r>
          </w:p>
          <w:p w14:paraId="541957D7" w14:textId="77777777" w:rsidR="00F44F13" w:rsidRPr="009B2A1A" w:rsidRDefault="00F44F13">
            <w:pPr>
              <w:spacing w:line="256" w:lineRule="auto"/>
              <w:rPr>
                <w:kern w:val="2"/>
                <w:lang w:eastAsia="en-US"/>
              </w:rPr>
            </w:pPr>
          </w:p>
          <w:p w14:paraId="6B4BBE07" w14:textId="77777777" w:rsidR="00F44F13" w:rsidRPr="009B2A1A" w:rsidRDefault="00F10A05">
            <w:pPr>
              <w:spacing w:line="256" w:lineRule="auto"/>
              <w:rPr>
                <w:kern w:val="2"/>
                <w:lang w:eastAsia="de-DE"/>
              </w:rPr>
            </w:pPr>
            <w:r w:rsidRPr="009B2A1A">
              <w:rPr>
                <w:kern w:val="2"/>
                <w:lang w:eastAsia="de-DE"/>
              </w:rPr>
              <w:fldChar w:fldCharType="begin">
                <w:ffData>
                  <w:name w:val="CREATOR_SHOWS"/>
                  <w:enabled/>
                  <w:calcOnExit w:val="0"/>
                  <w:textInput>
                    <w:default w:val="{$CREATOR_SHOWS}"/>
                  </w:textInput>
                </w:ffData>
              </w:fldChar>
            </w:r>
            <w:r w:rsidR="00F44F13" w:rsidRPr="009B2A1A">
              <w:rPr>
                <w:kern w:val="2"/>
                <w:lang w:eastAsia="de-DE"/>
              </w:rPr>
              <w:instrText xml:space="preserve"> FORMTEXT </w:instrText>
            </w:r>
            <w:r w:rsidRPr="009B2A1A">
              <w:rPr>
                <w:kern w:val="2"/>
                <w:lang w:eastAsia="de-DE"/>
              </w:rPr>
            </w:r>
            <w:r w:rsidRPr="009B2A1A">
              <w:rPr>
                <w:kern w:val="2"/>
                <w:lang w:eastAsia="de-DE"/>
              </w:rPr>
              <w:fldChar w:fldCharType="separate"/>
            </w:r>
            <w:r w:rsidR="00F44F13" w:rsidRPr="009B2A1A">
              <w:rPr>
                <w:noProof/>
                <w:kern w:val="2"/>
                <w:lang w:eastAsia="de-DE"/>
              </w:rPr>
              <w:t>Saulius Lapėnas</w:t>
            </w:r>
            <w:r w:rsidRPr="009B2A1A">
              <w:rPr>
                <w:kern w:val="2"/>
                <w:lang w:eastAsia="de-DE"/>
              </w:rPr>
              <w:fldChar w:fldCharType="end"/>
            </w:r>
          </w:p>
          <w:p w14:paraId="53C5F419" w14:textId="77777777" w:rsidR="00F44F13" w:rsidRPr="009B2A1A" w:rsidRDefault="00BA2F07">
            <w:pPr>
              <w:spacing w:line="256" w:lineRule="auto"/>
              <w:rPr>
                <w:kern w:val="2"/>
                <w:lang w:eastAsia="en-US"/>
              </w:rPr>
            </w:pPr>
            <w:r w:rsidRPr="009B2A1A">
              <w:rPr>
                <w:kern w:val="2"/>
                <w:lang w:eastAsia="en-US"/>
              </w:rPr>
              <w:t>2024-03-15</w:t>
            </w:r>
          </w:p>
          <w:p w14:paraId="6C32501A" w14:textId="77777777" w:rsidR="00F44F13" w:rsidRPr="009B2A1A" w:rsidRDefault="00F44F13">
            <w:pPr>
              <w:tabs>
                <w:tab w:val="left" w:pos="0"/>
              </w:tabs>
              <w:spacing w:line="256" w:lineRule="auto"/>
              <w:jc w:val="both"/>
              <w:rPr>
                <w:b/>
                <w:i/>
                <w:color w:val="FF0000"/>
                <w:kern w:val="2"/>
                <w:sz w:val="22"/>
                <w:lang w:eastAsia="en-US"/>
              </w:rPr>
            </w:pPr>
          </w:p>
        </w:tc>
      </w:tr>
    </w:tbl>
    <w:p w14:paraId="36BE8255" w14:textId="77777777" w:rsidR="00600F29" w:rsidRDefault="00600F29" w:rsidP="008824B5"/>
    <w:sectPr w:rsidR="00600F29" w:rsidSect="00A33E8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B5"/>
    <w:rsid w:val="000A7D02"/>
    <w:rsid w:val="000D4D17"/>
    <w:rsid w:val="00125E90"/>
    <w:rsid w:val="00150FB5"/>
    <w:rsid w:val="0015686D"/>
    <w:rsid w:val="003109D7"/>
    <w:rsid w:val="003F7015"/>
    <w:rsid w:val="0057112C"/>
    <w:rsid w:val="00594B93"/>
    <w:rsid w:val="005B77D6"/>
    <w:rsid w:val="005E1703"/>
    <w:rsid w:val="00600F29"/>
    <w:rsid w:val="00654F4B"/>
    <w:rsid w:val="00784B5E"/>
    <w:rsid w:val="00792368"/>
    <w:rsid w:val="008733CB"/>
    <w:rsid w:val="008824B5"/>
    <w:rsid w:val="009B2A1A"/>
    <w:rsid w:val="009F7415"/>
    <w:rsid w:val="00A33E85"/>
    <w:rsid w:val="00A664E0"/>
    <w:rsid w:val="00BA0E73"/>
    <w:rsid w:val="00BA2F07"/>
    <w:rsid w:val="00BF4C16"/>
    <w:rsid w:val="00C06777"/>
    <w:rsid w:val="00D46AB9"/>
    <w:rsid w:val="00EB03FF"/>
    <w:rsid w:val="00EC69FD"/>
    <w:rsid w:val="00F10A05"/>
    <w:rsid w:val="00F37964"/>
    <w:rsid w:val="00F44F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33F2"/>
  <w15:docId w15:val="{DAFF5F4B-563A-44F6-9C69-A93D0427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8824B5"/>
    <w:rPr>
      <w:rFonts w:ascii="Times New Roman" w:eastAsia="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8824B5"/>
    <w:pPr>
      <w:jc w:val="center"/>
    </w:pPr>
    <w:rPr>
      <w:b/>
      <w:bCs/>
      <w:szCs w:val="24"/>
      <w:lang w:val="en-US"/>
    </w:rPr>
  </w:style>
  <w:style w:type="character" w:customStyle="1" w:styleId="PavadinimasDiagrama">
    <w:name w:val="Pavadinimas Diagrama"/>
    <w:link w:val="Pavadinimas"/>
    <w:rsid w:val="008824B5"/>
    <w:rPr>
      <w:rFonts w:ascii="Times New Roman" w:eastAsia="Times New Roman" w:hAnsi="Times New Roman" w:cs="Times New Roman"/>
      <w:b/>
      <w:bCs/>
      <w:kern w:val="0"/>
      <w:sz w:val="24"/>
      <w:szCs w:val="24"/>
      <w:lang w:val="en-US" w:eastAsia="lt-LT"/>
    </w:rPr>
  </w:style>
  <w:style w:type="paragraph" w:styleId="Paantrat">
    <w:name w:val="Subtitle"/>
    <w:basedOn w:val="prastasis"/>
    <w:link w:val="PaantratDiagrama"/>
    <w:qFormat/>
    <w:rsid w:val="008824B5"/>
    <w:pPr>
      <w:tabs>
        <w:tab w:val="left" w:pos="567"/>
      </w:tabs>
      <w:jc w:val="center"/>
    </w:pPr>
    <w:rPr>
      <w:b/>
      <w:bCs/>
      <w:szCs w:val="24"/>
    </w:rPr>
  </w:style>
  <w:style w:type="character" w:customStyle="1" w:styleId="PaantratDiagrama">
    <w:name w:val="Paantraštė Diagrama"/>
    <w:link w:val="Paantrat"/>
    <w:rsid w:val="008824B5"/>
    <w:rPr>
      <w:rFonts w:ascii="Times New Roman" w:eastAsia="Times New Roman" w:hAnsi="Times New Roman" w:cs="Times New Roman"/>
      <w:b/>
      <w:bCs/>
      <w:kern w:val="0"/>
      <w:sz w:val="24"/>
      <w:szCs w:val="24"/>
      <w:lang w:eastAsia="lt-LT"/>
    </w:rPr>
  </w:style>
  <w:style w:type="paragraph" w:styleId="Sraopastraipa">
    <w:name w:val="List Paragraph"/>
    <w:basedOn w:val="prastasis"/>
    <w:qFormat/>
    <w:rsid w:val="003F7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605300">
      <w:bodyDiv w:val="1"/>
      <w:marLeft w:val="0"/>
      <w:marRight w:val="0"/>
      <w:marTop w:val="0"/>
      <w:marBottom w:val="0"/>
      <w:divBdr>
        <w:top w:val="none" w:sz="0" w:space="0" w:color="auto"/>
        <w:left w:val="none" w:sz="0" w:space="0" w:color="auto"/>
        <w:bottom w:val="none" w:sz="0" w:space="0" w:color="auto"/>
        <w:right w:val="none" w:sz="0" w:space="0" w:color="auto"/>
      </w:divBdr>
    </w:div>
    <w:div w:id="799492947">
      <w:bodyDiv w:val="1"/>
      <w:marLeft w:val="0"/>
      <w:marRight w:val="0"/>
      <w:marTop w:val="0"/>
      <w:marBottom w:val="0"/>
      <w:divBdr>
        <w:top w:val="none" w:sz="0" w:space="0" w:color="auto"/>
        <w:left w:val="none" w:sz="0" w:space="0" w:color="auto"/>
        <w:bottom w:val="none" w:sz="0" w:space="0" w:color="auto"/>
        <w:right w:val="none" w:sz="0" w:space="0" w:color="auto"/>
      </w:divBdr>
    </w:div>
    <w:div w:id="1019509658">
      <w:bodyDiv w:val="1"/>
      <w:marLeft w:val="0"/>
      <w:marRight w:val="0"/>
      <w:marTop w:val="0"/>
      <w:marBottom w:val="0"/>
      <w:divBdr>
        <w:top w:val="none" w:sz="0" w:space="0" w:color="auto"/>
        <w:left w:val="none" w:sz="0" w:space="0" w:color="auto"/>
        <w:bottom w:val="none" w:sz="0" w:space="0" w:color="auto"/>
        <w:right w:val="none" w:sz="0" w:space="0" w:color="auto"/>
      </w:divBdr>
    </w:div>
    <w:div w:id="118240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3770</Words>
  <Characters>2149</Characters>
  <Application>Microsoft Office Word</Application>
  <DocSecurity>0</DocSecurity>
  <Lines>17</Lines>
  <Paragraphs>11</Paragraphs>
  <ScaleCrop>false</ScaleCrop>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Zivile</dc:creator>
  <cp:keywords/>
  <dc:description/>
  <cp:lastModifiedBy>dovile.dackauskaite@jurbarkas.lt</cp:lastModifiedBy>
  <cp:revision>2</cp:revision>
  <dcterms:created xsi:type="dcterms:W3CDTF">2024-03-18T11:33:00Z</dcterms:created>
  <dcterms:modified xsi:type="dcterms:W3CDTF">2024-03-18T11:33:00Z</dcterms:modified>
</cp:coreProperties>
</file>