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2015-01-01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2013, Nr. </w:t>
      </w:r>
      <w:fldSimple w:instr="HYPERLINK https://www.e-tar.lt/portal/legalAct.html?documentId=TAR.72CE69597CE8">
        <w:r w:rsidRPr="00532B9F">
          <w:rPr>
            <w:rFonts w:ascii="Times New Roman" w:eastAsia="MS Mincho" w:hAnsi="Times New Roman"/>
            <w:sz w:val="20"/>
            <w:i/>
            <w:iCs/>
            <w:color w:val="0000FF" w:themeColor="hyperlink"/>
            <w:u w:val="single"/>
          </w:rPr>
          <w:t>22-1072</w:t>
        </w:r>
      </w:fldSimple>
      <w:r>
        <w:rPr>
          <w:rFonts w:ascii="Times New Roman" w:eastAsia="MS Mincho" w:hAnsi="Times New Roman"/>
          <w:sz w:val="20"/>
          <w:i/>
          <w:iCs/>
        </w:rPr>
        <w:t>, i. k. 113301MISAK00D1-150</w:t>
      </w:r>
    </w:p>
    <w:p>
      <w:pPr>
        <w:jc w:val="both"/>
        <w:rPr>
          <w:rFonts w:ascii="Times New Roman" w:hAnsi="Times New Roman"/>
          <w:sz w:val="20"/>
        </w:rPr>
      </w:pPr>
    </w:p>
    <w:p>
      <w:pPr>
        <w:widowControl w:val="0"/>
        <w:jc w:val="center"/>
        <w:rPr>
          <w:color w:val="000000"/>
          <w:szCs w:val="24"/>
          <w:lang w:eastAsia="lt-LT"/>
        </w:rPr>
      </w:pPr>
      <w:r>
        <w:rPr>
          <w:color w:val="000000"/>
          <w:szCs w:val="24"/>
          <w:lang w:eastAsia="lt-LT"/>
        </w:rPr>
        <w:t>LIETUVOS RESPUBLIKOS APLINKOS MINISTRO</w:t>
      </w:r>
    </w:p>
    <w:p>
      <w:pPr>
        <w:widowControl w:val="0"/>
        <w:jc w:val="center"/>
        <w:rPr>
          <w:color w:val="000000"/>
          <w:szCs w:val="24"/>
          <w:lang w:eastAsia="lt-LT"/>
        </w:rPr>
      </w:pPr>
      <w:r>
        <w:rPr>
          <w:color w:val="000000"/>
          <w:szCs w:val="24"/>
          <w:lang w:eastAsia="lt-LT"/>
        </w:rPr>
        <w:t>Į S A K Y M A S</w:t>
      </w:r>
    </w:p>
    <w:p>
      <w:pPr>
        <w:widowControl w:val="0"/>
        <w:jc w:val="center"/>
        <w:rPr>
          <w:color w:val="000000"/>
          <w:szCs w:val="24"/>
          <w:lang w:eastAsia="lt-LT"/>
        </w:rPr>
      </w:pPr>
    </w:p>
    <w:p>
      <w:pPr>
        <w:widowControl w:val="0"/>
        <w:jc w:val="center"/>
        <w:rPr>
          <w:b/>
          <w:bCs/>
          <w:caps/>
          <w:color w:val="000000"/>
          <w:szCs w:val="24"/>
          <w:lang w:eastAsia="lt-LT"/>
        </w:rPr>
      </w:pPr>
      <w:r>
        <w:rPr>
          <w:b/>
          <w:bCs/>
          <w:caps/>
          <w:color w:val="000000"/>
          <w:szCs w:val="24"/>
          <w:lang w:eastAsia="lt-LT"/>
        </w:rPr>
        <w:t>DĖL NEKILNOJAMOJO TURTO OBJEKTŲ, KURIŲ SAVININKAS ARBA ĮGALIOTI ASMENYS PRIVALO MOKĖTI NUSTATYTĄ RINKLIAVĄ ARBA SUDARYTI KOMUNALINIŲ ATLIEKŲ TVARKYMO PASLAUGOS TEIKIMO SUTARTĮ, RŪŠIŲ SĄRAŠO PATVIRTINIMO</w:t>
      </w:r>
    </w:p>
    <w:p>
      <w:pPr>
        <w:widowControl w:val="0"/>
        <w:ind w:firstLine="567"/>
        <w:jc w:val="both"/>
        <w:rPr>
          <w:b/>
          <w:bCs/>
          <w:color w:val="000000"/>
          <w:szCs w:val="24"/>
          <w:lang w:eastAsia="lt-LT"/>
        </w:rPr>
      </w:pPr>
    </w:p>
    <w:p>
      <w:pPr>
        <w:widowControl w:val="0"/>
        <w:jc w:val="center"/>
        <w:rPr>
          <w:color w:val="000000"/>
          <w:szCs w:val="24"/>
          <w:lang w:eastAsia="lt-LT"/>
        </w:rPr>
      </w:pPr>
      <w:r>
        <w:rPr>
          <w:color w:val="000000"/>
          <w:szCs w:val="24"/>
          <w:lang w:eastAsia="lt-LT"/>
        </w:rPr>
        <w:t>2013 m. vasario 20 d. Nr. D1-150</w:t>
      </w:r>
    </w:p>
    <w:p>
      <w:pPr>
        <w:widowControl w:val="0"/>
        <w:jc w:val="center"/>
        <w:rPr>
          <w:color w:val="000000"/>
          <w:szCs w:val="24"/>
          <w:lang w:eastAsia="lt-LT"/>
        </w:rPr>
      </w:pPr>
      <w:r>
        <w:rPr>
          <w:color w:val="000000"/>
          <w:szCs w:val="24"/>
          <w:lang w:eastAsia="lt-LT"/>
        </w:rPr>
        <w:t>Vilnius</w:t>
      </w:r>
    </w:p>
    <w:p>
      <w:pPr>
        <w:widowControl w:val="0"/>
        <w:ind w:firstLine="567"/>
        <w:jc w:val="both"/>
        <w:rPr>
          <w:color w:val="000000"/>
          <w:szCs w:val="24"/>
          <w:lang w:eastAsia="lt-LT"/>
        </w:rPr>
      </w:pPr>
    </w:p>
    <w:p>
      <w:pPr>
        <w:widowControl w:val="0"/>
        <w:ind w:firstLine="567"/>
        <w:jc w:val="both"/>
        <w:rPr>
          <w:color w:val="000000"/>
          <w:szCs w:val="24"/>
          <w:lang w:eastAsia="lt-LT"/>
        </w:rPr>
      </w:pPr>
      <w:r>
        <w:rPr>
          <w:color w:val="000000"/>
          <w:szCs w:val="24"/>
          <w:lang w:eastAsia="lt-LT"/>
        </w:rPr>
        <w:t xml:space="preserve">Vadovaudamasis Lietuvos Respublikos atliekų tvarkymo įstatymo (Žin., 1998, Nr. </w:t>
      </w:r>
      <w:hyperlink r:id="rId7" w:tgtFrame="_blank" w:history="1">
        <w:r>
          <w:rPr>
            <w:color w:val="0000FF" w:themeColor="hyperlink"/>
            <w:szCs w:val="24"/>
            <w:u w:val="single"/>
            <w:lang w:eastAsia="lt-LT"/>
          </w:rPr>
          <w:t>61-1726</w:t>
        </w:r>
      </w:hyperlink>
      <w:r>
        <w:rPr>
          <w:color w:val="000000"/>
          <w:szCs w:val="24"/>
          <w:lang w:eastAsia="lt-LT"/>
        </w:rPr>
        <w:t>; 2002; Nr. 72-3016; 2012, Nr. 50-2445, Nr. 155-8003) 30</w:t>
      </w:r>
      <w:r>
        <w:rPr>
          <w:color w:val="000000"/>
          <w:szCs w:val="24"/>
          <w:vertAlign w:val="superscript"/>
          <w:lang w:eastAsia="lt-LT"/>
        </w:rPr>
        <w:t>1</w:t>
      </w:r>
      <w:r>
        <w:rPr>
          <w:color w:val="000000"/>
          <w:szCs w:val="24"/>
          <w:lang w:eastAsia="lt-LT"/>
        </w:rPr>
        <w:t xml:space="preserve"> straipsnio 2 dalimi:</w:t>
      </w:r>
    </w:p>
    <w:p>
      <w:pPr>
        <w:widowControl w:val="0"/>
        <w:ind w:firstLine="567"/>
        <w:jc w:val="both"/>
        <w:rPr>
          <w:color w:val="000000"/>
          <w:szCs w:val="24"/>
          <w:lang w:eastAsia="lt-LT"/>
        </w:rPr>
      </w:pPr>
      <w:r>
        <w:rPr>
          <w:color w:val="000000"/>
          <w:szCs w:val="24"/>
          <w:lang w:eastAsia="lt-LT"/>
        </w:rPr>
        <w:t>1</w:t>
      </w:r>
      <w:r>
        <w:rPr>
          <w:color w:val="000000"/>
          <w:szCs w:val="24"/>
          <w:lang w:eastAsia="lt-LT"/>
        </w:rPr>
        <w:t>. T v i r t i n u Nekilnojamojo turto objektų, kurių savininkas arba įgalioti asmenys privalo mokėti nustatytą rinkliavą arba sudaryti komunalinių atliekų tvarkymo paslaugos teikimo sutartį, rūšių sąrašą (pridedama).</w:t>
      </w:r>
    </w:p>
    <w:p>
      <w:pPr>
        <w:widowControl w:val="0"/>
        <w:ind w:firstLine="567"/>
        <w:jc w:val="both"/>
        <w:rPr>
          <w:color w:val="000000"/>
          <w:szCs w:val="24"/>
          <w:lang w:eastAsia="lt-LT"/>
        </w:rPr>
      </w:pPr>
      <w:r>
        <w:rPr>
          <w:color w:val="000000"/>
          <w:szCs w:val="24"/>
          <w:lang w:eastAsia="lt-LT"/>
        </w:rPr>
        <w:t>2</w:t>
      </w:r>
      <w:r>
        <w:rPr>
          <w:color w:val="000000"/>
          <w:szCs w:val="24"/>
          <w:lang w:eastAsia="lt-LT"/>
        </w:rPr>
        <w:t>. N u s t a t a u, kad šis įsakymas įsigalioja 2013 m. liepos 1 d.</w:t>
      </w:r>
    </w:p>
    <w:p>
      <w:pPr>
        <w:widowControl w:val="0"/>
        <w:ind w:firstLine="567"/>
        <w:jc w:val="both"/>
        <w:rPr>
          <w:color w:val="000000"/>
          <w:szCs w:val="24"/>
          <w:lang w:eastAsia="lt-LT"/>
        </w:rPr>
      </w:pPr>
    </w:p>
    <w:p>
      <w:pPr>
        <w:widowControl w:val="0"/>
        <w:tabs>
          <w:tab w:val="right" w:pos="9071"/>
        </w:tabs>
        <w:rPr>
          <w:caps/>
          <w:color w:val="000000"/>
          <w:szCs w:val="24"/>
          <w:lang w:eastAsia="lt-LT"/>
        </w:rPr>
      </w:pPr>
      <w:r>
        <w:rPr>
          <w:caps/>
          <w:color w:val="000000"/>
          <w:szCs w:val="24"/>
          <w:lang w:eastAsia="lt-LT"/>
        </w:rPr>
        <w:t>Aplinkos ministras</w:t>
        <w:tab/>
        <w:t>Valentinas Mazuronis</w:t>
      </w:r>
    </w:p>
    <w:p>
      <w:pPr>
        <w:widowControl w:val="0"/>
        <w:ind w:firstLine="567"/>
        <w:jc w:val="both"/>
        <w:rPr>
          <w:color w:val="000000"/>
          <w:szCs w:val="24"/>
          <w:lang w:eastAsia="lt-LT"/>
        </w:rPr>
      </w:pPr>
    </w:p>
    <w:p>
      <w:pPr>
        <w:widowControl w:val="0"/>
        <w:jc w:val="both"/>
        <w:rPr>
          <w:color w:val="000000"/>
          <w:szCs w:val="24"/>
          <w:lang w:eastAsia="lt-LT"/>
        </w:rPr>
      </w:pPr>
    </w:p>
    <w:p>
      <w:pPr>
        <w:widowControl w:val="0"/>
        <w:ind w:left="4535"/>
      </w:pPr>
    </w:p>
    <w:p>
      <w:pPr/>
      <w:r>
        <w:br w:type="page"/>
      </w:r>
    </w:p>
    <w:p>
      <w:pPr>
        <w:widowControl w:val="0"/>
        <w:ind w:left="4535"/>
        <w:rPr>
          <w:color w:val="000000"/>
          <w:szCs w:val="24"/>
          <w:lang w:eastAsia="lt-LT"/>
        </w:rPr>
      </w:pPr>
      <w:r>
        <w:rPr>
          <w:color w:val="000000"/>
          <w:szCs w:val="24"/>
          <w:lang w:eastAsia="lt-LT"/>
        </w:rPr>
        <w:t>PATVIRTINTA</w:t>
      </w:r>
    </w:p>
    <w:p>
      <w:pPr>
        <w:widowControl w:val="0"/>
        <w:ind w:left="4535"/>
        <w:rPr>
          <w:color w:val="000000"/>
          <w:szCs w:val="24"/>
          <w:lang w:eastAsia="lt-LT"/>
        </w:rPr>
      </w:pPr>
      <w:r>
        <w:rPr>
          <w:color w:val="000000"/>
          <w:szCs w:val="24"/>
          <w:lang w:eastAsia="lt-LT"/>
        </w:rPr>
        <w:t>Lietuvos Respublikos aplinkos ministro 2013 m. vasario 20 d. įsakymu Nr. D1-150</w:t>
      </w:r>
    </w:p>
    <w:p>
      <w:pPr>
        <w:widowControl w:val="0"/>
        <w:ind w:firstLine="567"/>
        <w:jc w:val="both"/>
        <w:rPr>
          <w:color w:val="000000"/>
          <w:szCs w:val="24"/>
          <w:lang w:eastAsia="lt-LT"/>
        </w:rPr>
      </w:pPr>
    </w:p>
    <w:p>
      <w:pPr>
        <w:widowControl w:val="0"/>
        <w:jc w:val="center"/>
        <w:rPr>
          <w:b/>
          <w:bCs/>
          <w:caps/>
          <w:color w:val="000000"/>
          <w:szCs w:val="24"/>
          <w:lang w:eastAsia="lt-LT"/>
        </w:rPr>
      </w:pPr>
      <w:r>
        <w:rPr>
          <w:b/>
          <w:bCs/>
          <w:caps/>
          <w:color w:val="000000"/>
          <w:szCs w:val="24"/>
          <w:lang w:eastAsia="lt-LT"/>
        </w:rPr>
        <w:t>NEKILNOJAMOJO TURTO OBJEKTŲ, KURIŲ SAVININKAS ARBA ĮGALIOTI ASMENYS PRIVALO MOKĖTI NUSTATYTĄ RINKLIAVĄ ARBA SUDARYTI KOMUNALINIŲ ATLIEKŲ TVARKYMO PASLAUGOS TEIKIMO SUTARTĮ, RŪŠIŲ SĄRAŠAS</w:t>
      </w:r>
    </w:p>
    <w:p>
      <w:pPr>
        <w:widowControl w:val="0"/>
        <w:ind w:firstLine="567"/>
        <w:jc w:val="both"/>
        <w:rPr>
          <w:color w:val="000000"/>
          <w:szCs w:val="24"/>
          <w:lang w:eastAsia="lt-LT"/>
        </w:rPr>
      </w:pPr>
    </w:p>
    <w:tbl>
      <w:tblPr>
        <w:tblW w:w="9070" w:type="dxa"/>
        <w:tblLayout w:type="fixed"/>
        <w:tblCellMar>
          <w:left w:w="0" w:type="dxa"/>
          <w:right w:w="0" w:type="dxa"/>
        </w:tblCellMar>
        <w:tblLook w:val="0000" w:firstRow="0" w:lastRow="0" w:firstColumn="0" w:lastColumn="0" w:noHBand="0" w:noVBand="0"/>
      </w:tblPr>
      <w:tblGrid>
        <w:gridCol w:w="1017"/>
        <w:gridCol w:w="2160"/>
        <w:gridCol w:w="5893"/>
      </w:tblGrid>
      <w:tr>
        <w:trPr>
          <w:trHeight w:val="62"/>
          <w:tblHeader/>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widowControl w:val="0"/>
              <w:jc w:val="center"/>
              <w:rPr>
                <w:color w:val="000000"/>
                <w:szCs w:val="24"/>
                <w:lang w:eastAsia="lt-LT"/>
              </w:rPr>
            </w:pPr>
            <w:r>
              <w:rPr>
                <w:b/>
                <w:bCs/>
                <w:color w:val="000000"/>
                <w:szCs w:val="24"/>
                <w:lang w:eastAsia="lt-LT"/>
              </w:rPr>
              <w:t>Eil. Nr.</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widowControl w:val="0"/>
              <w:jc w:val="center"/>
              <w:rPr>
                <w:color w:val="000000"/>
                <w:szCs w:val="24"/>
                <w:lang w:eastAsia="lt-LT"/>
              </w:rPr>
            </w:pPr>
            <w:r>
              <w:rPr>
                <w:b/>
                <w:bCs/>
                <w:color w:val="000000"/>
                <w:szCs w:val="24"/>
                <w:lang w:eastAsia="lt-LT"/>
              </w:rPr>
              <w:t>Nekilnojamojo turto objektai *</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widowControl w:val="0"/>
              <w:jc w:val="center"/>
              <w:rPr>
                <w:color w:val="000000"/>
                <w:szCs w:val="24"/>
                <w:lang w:eastAsia="lt-LT"/>
              </w:rPr>
            </w:pPr>
            <w:r>
              <w:rPr>
                <w:b/>
                <w:bCs/>
                <w:color w:val="000000"/>
                <w:szCs w:val="24"/>
                <w:lang w:eastAsia="lt-LT"/>
              </w:rPr>
              <w:t>Nekilnojamojo turto paskirtis **</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Gyvenamosios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gyventi vienam ar daugiau asmenų, vienai ar daugiau šeimų, įvairių socialinių grupių asmenims (individualūs namai, butai, bendrabučiai, vaikų namai, prieglaudos, globos namai, šeimos namai, vienuolynai, nakvynės namai, socialinis būstas,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2.</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Viešbučių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trumpalaikiam apgyvendinimui (viešbučiai, moteliai, svečių namai, kaimo turizmo sodybos ir panašiai)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3.</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Administracinės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4.</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Prekybos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didmeninei ir mažmeninei prekybai (parduotuvės, parduotuvės – operatorinės, knygynai, vaistinės, prekybos paviljonai, turgavietės ir kiti laikini statiniai ar prekybos vietos (kioskai, palapinės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5.</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Paslaugų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paslaugoms teikti (pirtys, grožio salonai, skalbyklos, taisyklos, remonto dirbtuvės, priėmimo–išdavimo punktai, autoservisai, plovyklos, krematoriumai, laidojimo namai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6.</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Maitinimo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žmonėms maitinti (valgyklos, restoranai, kavinės, barai,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7.</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Transporto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transporto tikslams, t. y. susiję su transportavimu, gabenimu, vežimu (oro uosto, jūrų ir upių laivyno, geležinkelio ir autobusų stočių pastatai, uosto terminalai, muitinių pastatai,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8.</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Garažų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transporto priemonėms laikyti ir remontuoti (automobilių garažai, atviri ar uždari požeminiai garažai, antžeminės automobilių saugyklos, elingai, geležinkelio vagonų depai, autobusų ir troleibusų garažai, orlaivių angarai, laivų ir aerostatų elingai ir kiti panašios paskirties objektai, išskyrus garažus lengviesiems automobiliams, esančius namų valdoje)</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9.</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Gamybos, pramonės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10.</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Sandėliavimo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sandėliuoti arba ką nors laikyti (saugyklos, bendro naudojimo sandėliai, specialūs sandėliai, kiti objektai, naudojami produkcijai laikyti ir saugoti)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11.</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Kultūros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kultūros tikslams (teatrai, kino teatrai, kultūros namai, klubai, bibliotekos, archyvai, muziejai, parodų centrai, planetariumai, radijo ir televizijos pastatai,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12.</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Mokslo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13.</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Gydymo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14.</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Poilsio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poilsiui (poilsio namai, turizmo centrai, jaunimo nakvynės namai, kaimo turizmo pastatai, medžioklės nameliai, kempingai, poilsiavietės, paplūdimiai, apžvalgos aikštelės, kiti turizmo objektai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15.</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Sporto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sportui (sporto halės, salės, teniso kortai, baseinai, čiuožyklos, jachtklubai, šaudyklos, stadionai, maniežai, aikštynai, laikinos sporto aikštelės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16.</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Religinės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religiniams tikslams (bažnyčios, cerkvės, koplyčios, sinagogos, maldos namai, katedros, parapijų namai ir kiti religiniams tikslams naudojami pastatai)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17.</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Specialiosios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specialiesiems tikslams (kareivinių pastatai, kalėjimai, pataisos darbų kolonijos, tardymo izoliatoriai, policijos, priešgaisrinių ir gelbėjimo tarnybų pastatai, slėptuvės, pasienio kontrolės punktai ir kiti panašios paskirties objektai)</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18.</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Sodų paskirties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rPr>
              <w:t>Naudojami arba poilsiui ir (arba) sodininkystei ir (arba) daržininkystei sodininkų bendrijos nariams priklausantys sodo sklypai su pastatais ir (ar) sodo sklypai su pastatais, nepriklausantys sodininkų bendrijos nariams, bet esantys sodo teritorijoje</w:t>
            </w:r>
          </w:p>
        </w:tc>
      </w:tr>
      <w:tr>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jc w:val="center"/>
              <w:rPr>
                <w:color w:val="000000"/>
                <w:szCs w:val="24"/>
                <w:lang w:eastAsia="lt-LT"/>
              </w:rPr>
            </w:pPr>
            <w:r>
              <w:rPr>
                <w:color w:val="000000"/>
                <w:szCs w:val="24"/>
                <w:lang w:eastAsia="lt-LT"/>
              </w:rPr>
              <w:t>19.</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Kiti objektai</w:t>
            </w:r>
          </w:p>
        </w:tc>
        <w:tc>
          <w:tcPr>
            <w:tcW w:w="58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rPr>
                <w:color w:val="000000"/>
                <w:szCs w:val="24"/>
                <w:lang w:eastAsia="lt-LT"/>
              </w:rPr>
            </w:pPr>
            <w:r>
              <w:rPr>
                <w:color w:val="000000"/>
                <w:szCs w:val="24"/>
                <w:lang w:eastAsia="lt-LT"/>
              </w:rPr>
              <w:t>Naudojami kita paskirtimi (lošimų namų pastatai) ir kiti savarankiški objektai (automobilių stovėjimo aikštelės, kapinės, degalinės, viešųjų renginių vietos), kurių negalima priskirti jokiai nurodytai paskirčiai</w:t>
            </w:r>
          </w:p>
        </w:tc>
      </w:tr>
    </w:tbl>
    <w:p>
      <w:pPr>
        <w:widowControl w:val="0"/>
        <w:ind w:firstLine="567"/>
        <w:jc w:val="both"/>
        <w:rPr>
          <w:color w:val="000000"/>
          <w:szCs w:val="24"/>
          <w:lang w:eastAsia="lt-LT"/>
        </w:rPr>
      </w:pPr>
    </w:p>
    <w:p>
      <w:pPr>
        <w:tabs>
          <w:tab w:val="left" w:pos="284"/>
        </w:tabs>
        <w:suppressAutoHyphens/>
        <w:spacing w:line="278" w:lineRule="auto"/>
        <w:ind w:firstLine="567"/>
        <w:jc w:val="both"/>
        <w:textAlignment w:val="center"/>
        <w:rPr>
          <w:color w:val="000000"/>
          <w:szCs w:val="24"/>
          <w:lang w:eastAsia="lt-LT"/>
        </w:rPr>
      </w:pPr>
      <w:r>
        <w:rPr>
          <w:color w:val="000000"/>
          <w:lang w:eastAsia="lt-LT"/>
        </w:rPr>
        <w:t>*</w:t>
      </w:r>
      <w:r>
        <w:rPr>
          <w:b/>
          <w:bCs/>
          <w:color w:val="000000"/>
          <w:lang w:eastAsia="lt-LT"/>
        </w:rPr>
        <w:t xml:space="preserve">Nekilnojamojo turto objektai </w:t>
      </w:r>
      <w:r>
        <w:rPr>
          <w:color w:val="000000"/>
          <w:lang w:eastAsia="lt-LT"/>
        </w:rPr>
        <w:t>– pastatai su priklausiniais ir (ar) priskirtais naudoti žemės sklypais ar be jų, kitos patalpos, nepaisant jų registracijos nekilnojamojo turto registre.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Pastraipos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10e8e001d3b11e4b542dec0b12e28b0">
        <w:r w:rsidRPr="00532B9F">
          <w:rPr>
            <w:rFonts w:ascii="Times New Roman" w:eastAsia="MS Mincho" w:hAnsi="Times New Roman"/>
            <w:sz w:val="20"/>
            <w:i/>
            <w:iCs/>
            <w:color w:val="0000FF" w:themeColor="hyperlink"/>
            <w:u w:val="single"/>
          </w:rPr>
          <w:t>D1-637</w:t>
        </w:r>
      </w:fldSimple>
      <w:r>
        <w:rPr>
          <w:rFonts w:ascii="Times New Roman" w:eastAsia="MS Mincho" w:hAnsi="Times New Roman"/>
          <w:sz w:val="20"/>
          <w:i/>
          <w:iCs/>
        </w:rPr>
        <w:t>,
2014-07-31,
paskelbta TAR 2014-08-06, i. k. 2014-10926            </w:t>
      </w:r>
    </w:p>
    <w:p/>
    <w:p>
      <w:pPr>
        <w:widowControl w:val="0"/>
        <w:ind w:firstLine="567"/>
        <w:jc w:val="both"/>
        <w:rPr>
          <w:color w:val="000000"/>
          <w:szCs w:val="24"/>
          <w:lang w:eastAsia="lt-LT"/>
        </w:rPr>
      </w:pPr>
      <w:r>
        <w:rPr>
          <w:b/>
          <w:bCs/>
          <w:color w:val="000000"/>
          <w:szCs w:val="24"/>
          <w:lang w:eastAsia="lt-LT"/>
        </w:rPr>
        <w:t xml:space="preserve">**Nekilnojamojo turto paskirtis – </w:t>
      </w:r>
      <w:r>
        <w:rPr>
          <w:color w:val="000000"/>
          <w:szCs w:val="24"/>
          <w:lang w:eastAsia="lt-LT"/>
        </w:rPr>
        <w:t>teisės aktais leidžiama, nuosavybės dokumentuose nurodyta arba faktiškai vykdoma teisėta viena ar keletas veiklos rūšių, vykdomų nekilnojamojo turto objektuose.</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10e8e001d3b11e4b542dec0b12e28b0">
        <w:r w:rsidRPr="00532B9F">
          <w:rPr>
            <w:rFonts w:ascii="Times New Roman" w:eastAsia="MS Mincho" w:hAnsi="Times New Roman"/>
            <w:sz w:val="20"/>
            <w:i/>
            <w:iCs/>
            <w:color w:val="0000FF" w:themeColor="hyperlink"/>
            <w:u w:val="single"/>
          </w:rPr>
          <w:t>D1-637</w:t>
        </w:r>
      </w:fldSimple>
      <w:r>
        <w:rPr>
          <w:rFonts w:ascii="Times New Roman" w:eastAsia="MS Mincho" w:hAnsi="Times New Roman"/>
          <w:sz w:val="20"/>
          <w:i/>
          <w:iCs/>
        </w:rPr>
        <w:t>,
2014-07-31,
paskelbta TAR 2014-08-06, i. k. 2014-10926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aplinkos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10e8e001d3b11e4b542dec0b12e28b0">
        <w:r w:rsidRPr="00532B9F">
          <w:rPr>
            <w:rFonts w:ascii="Times New Roman" w:eastAsia="MS Mincho" w:hAnsi="Times New Roman"/>
            <w:sz w:val="20"/>
            <w:iCs/>
            <w:color w:val="0000FF" w:themeColor="hyperlink"/>
            <w:u w:val="single"/>
          </w:rPr>
          <w:t>D1-637</w:t>
        </w:r>
      </w:fldSimple>
      <w:r>
        <w:rPr>
          <w:rFonts w:ascii="Times New Roman" w:eastAsia="MS Mincho" w:hAnsi="Times New Roman"/>
          <w:sz w:val="20"/>
          <w:iCs/>
        </w:rPr>
        <w:t>,
2014-07-31,
paskelbta TAR 2014-08-06, i. k. 2014-10926                </w:t>
      </w:r>
    </w:p>
    <w:p>
      <w:pPr>
        <w:jc w:val="both"/>
        <w:rPr>
          <w:rFonts w:ascii="Times New Roman" w:hAnsi="Times New Roman"/>
        </w:rPr>
      </w:pPr>
      <w:r>
        <w:rPr>
          <w:rFonts w:ascii="Times New Roman" w:hAnsi="Times New Roman"/>
          <w:sz w:val="20"/>
        </w:rPr>
        <w:t>Dėl Lietuvos Respublikos aplinkos ministro 2013 m. vasario 20 d. įsakymo Nr. D1-150 „Dėl nekilnojamojo turto objektų, kurių savininkas arba įgalioti asmenys privalo mokėti nustatytą rinkliavą arba sudaryti komunalinių atliekų tvarkymo paslaugos teikimo sutartį, rūšių sąrašo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1134" w:bottom="1134" w:left="1701" w:header="567" w:footer="284" w:gutter="0"/>
      <w:cols w:space="1296"/>
      <w:docGrid w:linePitch="360"/>
    </w:sectPr>
  </w:body>
</w:document>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percent="82"/>
  <w:defaultTabStop w:val="1296"/>
  <w:hyphenationZone w:val="396"/>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5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28A0"/>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theme" Target="theme/theme1.xml"/>
  <Relationship Id="rId6" Type="http://schemas.openxmlformats.org/officeDocument/2006/relationships/webSettings" Target="webSettings.xml"/>
  <Relationship Id="rId7" Type="http://schemas.openxmlformats.org/officeDocument/2006/relationships/hyperlink" TargetMode="External" Target="https://www.e-tar.lt/portal/lt/legalAct/TAR.8D38517814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3</TotalTime>
  <Pages>7</Pages>
  <Words>8310</Words>
  <Characters>4738</Characters>
  <Application>Microsoft Office Word</Application>
  <DocSecurity>0</DocSecurity>
  <Lines>39</Lines>
  <Paragraphs>26</Paragraphs>
  <ScaleCrop>false</ScaleCrop>
  <Company/>
  <LinksUpToDate>false</LinksUpToDate>
  <CharactersWithSpaces>13022</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2015-06-02T22:13:00Z</dcterms:created>
  <dc:creator>Rima</dc:creator>
  <lastModifiedBy>SEIMAS</lastModifiedBy>
  <dcterms:modified xsi:type="dcterms:W3CDTF">2016-03-13T17:06:00Z</dcterms:modified>
  <revision>4</revision>
  <dc:title>LIETUVOS RESPUBLIKOS APLINKOS MINISTRO</dc:title>
</coreProperties>
</file>