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1A" w:rsidRPr="00946A54" w:rsidRDefault="00CA2D1A" w:rsidP="00CA2D1A">
      <w:pPr>
        <w:ind w:left="10206"/>
        <w:rPr>
          <w:sz w:val="16"/>
        </w:rPr>
      </w:pPr>
      <w:r w:rsidRPr="00946A54">
        <w:rPr>
          <w:sz w:val="16"/>
          <w:szCs w:val="24"/>
        </w:rPr>
        <w:t>Jurbarko rajono savivaldybės</w:t>
      </w:r>
      <w:r w:rsidRPr="00946A54">
        <w:rPr>
          <w:sz w:val="16"/>
          <w:szCs w:val="23"/>
        </w:rPr>
        <w:t xml:space="preserve"> </w:t>
      </w:r>
      <w:r w:rsidRPr="00946A54">
        <w:rPr>
          <w:sz w:val="16"/>
        </w:rPr>
        <w:t>teisės aktų projektų antikorupcinio vertinimo tvarkos aprašo</w:t>
      </w:r>
    </w:p>
    <w:p w:rsidR="00CA2D1A" w:rsidRPr="00946A54" w:rsidRDefault="00CA2D1A" w:rsidP="00CA2D1A">
      <w:pPr>
        <w:ind w:left="10206"/>
        <w:rPr>
          <w:sz w:val="16"/>
          <w:lang w:eastAsia="ar-SA"/>
        </w:rPr>
      </w:pPr>
      <w:r w:rsidRPr="00946A54">
        <w:rPr>
          <w:sz w:val="16"/>
        </w:rPr>
        <w:t>p</w:t>
      </w:r>
      <w:r w:rsidRPr="00946A54">
        <w:rPr>
          <w:sz w:val="16"/>
          <w:lang w:eastAsia="ar-SA"/>
        </w:rPr>
        <w:t>riedas</w:t>
      </w:r>
    </w:p>
    <w:p w:rsidR="00CA2D1A" w:rsidRPr="00946A54" w:rsidRDefault="00CA2D1A" w:rsidP="00CA2D1A">
      <w:pPr>
        <w:jc w:val="center"/>
        <w:rPr>
          <w:sz w:val="16"/>
        </w:rPr>
      </w:pPr>
    </w:p>
    <w:p w:rsidR="00CA2D1A" w:rsidRPr="00946A54" w:rsidRDefault="00CA2D1A" w:rsidP="00657693">
      <w:pPr>
        <w:rPr>
          <w:b/>
          <w:sz w:val="16"/>
        </w:rPr>
      </w:pPr>
    </w:p>
    <w:p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:rsidR="00946A54" w:rsidRPr="00946A54" w:rsidRDefault="00946A54" w:rsidP="00CA2D1A">
      <w:pPr>
        <w:rPr>
          <w:sz w:val="16"/>
        </w:rPr>
      </w:pPr>
    </w:p>
    <w:p w:rsidR="00CA2D1A" w:rsidRPr="008B31F0" w:rsidRDefault="00CA2D1A" w:rsidP="00946A54">
      <w:pPr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tarybos sprendimas </w:t>
      </w:r>
      <w:r>
        <w:rPr>
          <w:szCs w:val="24"/>
        </w:rPr>
        <w:t>„</w:t>
      </w:r>
      <w:r>
        <w:t xml:space="preserve">Dėl </w:t>
      </w:r>
      <w:r w:rsidR="00BD54D4">
        <w:t xml:space="preserve">mokinių nemokamo maitinimo </w:t>
      </w:r>
      <w:r w:rsidR="004B3A20">
        <w:t>Jurbarko rajono savivaldybė</w:t>
      </w:r>
      <w:r w:rsidR="00BD54D4">
        <w:t xml:space="preserve">s mokyklose </w:t>
      </w:r>
      <w:r w:rsidR="004B3A20">
        <w:t>tvarkos aprašo patvirtinimo</w:t>
      </w:r>
      <w:r>
        <w:t>“.</w:t>
      </w:r>
    </w:p>
    <w:p w:rsidR="00CA2D1A" w:rsidRPr="008B31F0" w:rsidRDefault="00CA2D1A" w:rsidP="00946A54">
      <w:pPr>
        <w:jc w:val="both"/>
      </w:pPr>
      <w:r w:rsidRPr="008B31F0">
        <w:t>Teisės akto projekto tiesioginis rengėjas:</w:t>
      </w:r>
      <w:r>
        <w:t xml:space="preserve"> Jurbarko rajono savivaldybės administracijos Socialinės paramos skyriaus </w:t>
      </w:r>
      <w:r w:rsidR="00946A54">
        <w:t xml:space="preserve">vedėja Angelė </w:t>
      </w:r>
      <w:proofErr w:type="spellStart"/>
      <w:r w:rsidR="00946A54">
        <w:t>Zabalujeva</w:t>
      </w:r>
      <w:proofErr w:type="spellEnd"/>
      <w:r>
        <w:t>.</w:t>
      </w:r>
    </w:p>
    <w:p w:rsidR="00CA2D1A" w:rsidRPr="008B31F0" w:rsidRDefault="00CA2D1A" w:rsidP="00946A54">
      <w:pPr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:rsidR="00CA2D1A" w:rsidRPr="008B31F0" w:rsidRDefault="00CA2D1A" w:rsidP="00946A54">
      <w:pPr>
        <w:jc w:val="both"/>
      </w:pPr>
      <w:r w:rsidRPr="008B31F0">
        <w:t xml:space="preserve">Antikorupciniu požiūriu rizikingos teisės akto projekto nuostatos, nustatytos atliekant antikorupcinį vertinimą po </w:t>
      </w:r>
      <w:proofErr w:type="spellStart"/>
      <w:r w:rsidRPr="008B31F0">
        <w:t>tarpinstitucinio</w:t>
      </w:r>
      <w:proofErr w:type="spellEnd"/>
      <w:r w:rsidRPr="008B31F0">
        <w:t xml:space="preserve">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3302"/>
        <w:gridCol w:w="3815"/>
        <w:gridCol w:w="3686"/>
        <w:gridCol w:w="2610"/>
      </w:tblGrid>
      <w:tr w:rsidR="007D5650" w:rsidRPr="008B31F0" w:rsidTr="00946A54">
        <w:trPr>
          <w:trHeight w:val="23"/>
          <w:tblHeader/>
        </w:trPr>
        <w:tc>
          <w:tcPr>
            <w:tcW w:w="698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02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15" w:type="dxa"/>
            <w:vAlign w:val="center"/>
          </w:tcPr>
          <w:p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86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0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02" w:type="dxa"/>
          </w:tcPr>
          <w:p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15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86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0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15" w:type="dxa"/>
          </w:tcPr>
          <w:p w:rsidR="00CA2D1A" w:rsidRPr="008B31F0" w:rsidRDefault="00CA57DC" w:rsidP="007D5650">
            <w:pPr>
              <w:jc w:val="both"/>
              <w:rPr>
                <w:b/>
              </w:rPr>
            </w:pPr>
            <w:r>
              <w:rPr>
                <w:szCs w:val="24"/>
              </w:rPr>
              <w:t>Aprašas parengtas vadovaujantis S</w:t>
            </w:r>
            <w:r w:rsidRPr="00945313">
              <w:rPr>
                <w:szCs w:val="24"/>
              </w:rPr>
              <w:t>ocialinės paramos mokiniams</w:t>
            </w:r>
            <w:r>
              <w:rPr>
                <w:szCs w:val="24"/>
              </w:rPr>
              <w:t xml:space="preserve"> įstatymu,</w:t>
            </w:r>
            <w:r w:rsidRPr="00945313">
              <w:rPr>
                <w:szCs w:val="24"/>
              </w:rPr>
              <w:t xml:space="preserve"> Mokinių nemokamo maitinimo mokyklose tvarkos aprašu, patvirtintu Lietuvos Respublikos Vyriausybės 2009 m. gruodžio 23 d. nutarimu Nr. 1770</w:t>
            </w:r>
            <w:r>
              <w:rPr>
                <w:szCs w:val="24"/>
              </w:rPr>
              <w:t xml:space="preserve"> „</w:t>
            </w:r>
            <w:hyperlink r:id="rId7" w:tgtFrame="FTurinys" w:history="1">
              <w:r w:rsidRPr="00945313">
                <w:t xml:space="preserve">Dėl Mokinių nemokamo maitinimo mokyklose tvarkos aprašo </w:t>
              </w:r>
              <w:r w:rsidRPr="00945313">
                <w:lastRenderedPageBreak/>
                <w:t>patvirtinimo</w:t>
              </w:r>
            </w:hyperlink>
            <w:r w:rsidRPr="00945313">
              <w:t>“</w:t>
            </w:r>
            <w:r>
              <w:rPr>
                <w:szCs w:val="24"/>
              </w:rPr>
              <w:t xml:space="preserve">, ir </w:t>
            </w:r>
            <w:r>
              <w:t>n</w:t>
            </w:r>
            <w:r w:rsidR="00BD54D4">
              <w:t>esudaro</w:t>
            </w:r>
            <w:r w:rsidRPr="008B31F0">
              <w:t xml:space="preserve"> išskirtinių ar nevienodų sąlygų subjektams, su kuriais susijęs teisės akto įgyvendinimas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0" w:type="dxa"/>
          </w:tcPr>
          <w:p w:rsidR="00CA2D1A" w:rsidRPr="008B31F0" w:rsidRDefault="00CA57DC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2.</w:t>
            </w:r>
          </w:p>
        </w:tc>
        <w:tc>
          <w:tcPr>
            <w:tcW w:w="3302" w:type="dxa"/>
          </w:tcPr>
          <w:p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15" w:type="dxa"/>
          </w:tcPr>
          <w:p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0" w:type="dxa"/>
          </w:tcPr>
          <w:p w:rsidR="00CA2D1A" w:rsidRPr="008B31F0" w:rsidRDefault="00B60E5A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:rsidR="00CA2D1A" w:rsidRPr="008B31F0" w:rsidRDefault="00CA2D1A" w:rsidP="004F3E3B"/>
        </w:tc>
        <w:tc>
          <w:tcPr>
            <w:tcW w:w="3815" w:type="dxa"/>
          </w:tcPr>
          <w:p w:rsidR="00452398" w:rsidRPr="00452398" w:rsidRDefault="00FE59E6" w:rsidP="004523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000000"/>
                <w:sz w:val="20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Subjektai atskirti</w:t>
            </w:r>
          </w:p>
          <w:p w:rsidR="00CA2D1A" w:rsidRPr="008B31F0" w:rsidRDefault="00CA2D1A" w:rsidP="004F3E3B"/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B60E5A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4.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15" w:type="dxa"/>
          </w:tcPr>
          <w:p w:rsidR="00CA2D1A" w:rsidRPr="008B31F0" w:rsidRDefault="00FE59E6" w:rsidP="00FE59E6">
            <w:r>
              <w:t>S</w:t>
            </w:r>
            <w:r w:rsidR="00452398" w:rsidRPr="008B31F0">
              <w:t>ubjekto įgaliojimai (teisės) atitinka subjekto atliekamas funkcijas (pareigas)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B60E5A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15" w:type="dxa"/>
          </w:tcPr>
          <w:p w:rsidR="00CA2D1A" w:rsidRPr="008B31F0" w:rsidRDefault="00BD54D4" w:rsidP="00BD54D4">
            <w:r>
              <w:t>Kriterijų sąrašas Aprašo 6 ir 9 punktuose yra baigtinis, o 8 ir 10 punktuose nurodytas nebaigtinis sąrašas.</w:t>
            </w:r>
          </w:p>
        </w:tc>
        <w:tc>
          <w:tcPr>
            <w:tcW w:w="3686" w:type="dxa"/>
          </w:tcPr>
          <w:p w:rsidR="00CA2D1A" w:rsidRPr="008B31F0" w:rsidRDefault="00B60E5A" w:rsidP="00B60E5A">
            <w:r>
              <w:t xml:space="preserve">Kitaus atvejus svarsto  direktoriaus įsakymu sudaryta komisija. Kadangi tai kolegialus organas, yra užtikrinamas didesnis </w:t>
            </w:r>
            <w:r w:rsidRPr="008B31F0">
              <w:rPr>
                <w:szCs w:val="24"/>
              </w:rPr>
              <w:t xml:space="preserve">sprendimus </w:t>
            </w:r>
            <w:r w:rsidRPr="008B31F0">
              <w:rPr>
                <w:szCs w:val="24"/>
              </w:rPr>
              <w:lastRenderedPageBreak/>
              <w:t>priiman</w:t>
            </w:r>
            <w:r>
              <w:rPr>
                <w:szCs w:val="24"/>
              </w:rPr>
              <w:t>čio subjekto veiklos objektyvumas</w:t>
            </w:r>
            <w:r w:rsidRPr="008B31F0">
              <w:rPr>
                <w:szCs w:val="24"/>
              </w:rPr>
              <w:t xml:space="preserve"> ir skaidrum</w:t>
            </w:r>
            <w:r>
              <w:rPr>
                <w:szCs w:val="24"/>
              </w:rPr>
              <w:t>as</w:t>
            </w:r>
          </w:p>
        </w:tc>
        <w:tc>
          <w:tcPr>
            <w:tcW w:w="2610" w:type="dxa"/>
          </w:tcPr>
          <w:p w:rsidR="00CA2D1A" w:rsidRPr="008B31F0" w:rsidRDefault="00B60E5A" w:rsidP="004F3E3B">
            <w:r>
              <w:lastRenderedPageBreak/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6.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15" w:type="dxa"/>
          </w:tcPr>
          <w:p w:rsidR="00CA2D1A" w:rsidRPr="008B31F0" w:rsidRDefault="00FE59E6" w:rsidP="00BD54D4">
            <w:r>
              <w:t xml:space="preserve">Išimtys </w:t>
            </w:r>
            <w:r w:rsidR="00BD54D4">
              <w:t>taikomos Komisijos sprendimu (Aprašo 8.8, 9 ir 10 punktai)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A021E7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15" w:type="dxa"/>
          </w:tcPr>
          <w:p w:rsidR="00CA2D1A" w:rsidRPr="008B31F0" w:rsidRDefault="007D5650" w:rsidP="00BD54D4">
            <w:pPr>
              <w:jc w:val="both"/>
            </w:pPr>
            <w:r>
              <w:t xml:space="preserve">Sprendimų priėmimo, įforminimo tvarka aprašyta </w:t>
            </w:r>
            <w:r w:rsidR="00BD54D4">
              <w:t>Aprašo V skyrius</w:t>
            </w:r>
            <w:r>
              <w:t xml:space="preserve">. </w:t>
            </w:r>
            <w:r w:rsidR="00FE59E6">
              <w:t xml:space="preserve">Sprendimai </w:t>
            </w:r>
            <w:r>
              <w:t>ne</w:t>
            </w:r>
            <w:r w:rsidR="00FE59E6">
              <w:t>viešinami</w:t>
            </w:r>
            <w:r>
              <w:t>.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A021E7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15" w:type="dxa"/>
          </w:tcPr>
          <w:p w:rsidR="00CA2D1A" w:rsidRPr="00452398" w:rsidRDefault="00452398" w:rsidP="00A021E7">
            <w:r w:rsidRPr="00452398">
              <w:t>N</w:t>
            </w:r>
            <w:r w:rsidR="00A021E7">
              <w:t>etaikoma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0" w:type="dxa"/>
          </w:tcPr>
          <w:p w:rsidR="00CA2D1A" w:rsidRPr="008B31F0" w:rsidRDefault="00A021E7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 xml:space="preserve">9.2. jeigu narius skiria keli subjektai, proporcinga </w:t>
            </w:r>
            <w:r w:rsidRPr="008B31F0">
              <w:rPr>
                <w:sz w:val="24"/>
                <w:szCs w:val="24"/>
              </w:rPr>
              <w:lastRenderedPageBreak/>
              <w:t>kiekvieno subjekto skiriamų narių dalis, užtikrinanti tinkamą atstovavimą valstybės interesams ir kolegialaus sprendimus priimančio subjekto veiklos objektyvumą ir skaidrumą;</w:t>
            </w:r>
          </w:p>
          <w:p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:rsidR="00CA2D1A" w:rsidRPr="008B31F0" w:rsidRDefault="00CA2D1A" w:rsidP="004F3E3B">
            <w:r w:rsidRPr="008B31F0">
              <w:t>9.4. narių rotacija ir kadencijų skaičius ir trukmė;</w:t>
            </w:r>
          </w:p>
          <w:p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15" w:type="dxa"/>
          </w:tcPr>
          <w:p w:rsidR="00562593" w:rsidRDefault="00E63B3E" w:rsidP="00562593">
            <w:pPr>
              <w:jc w:val="both"/>
            </w:pPr>
            <w:r>
              <w:lastRenderedPageBreak/>
              <w:t>Nenustatyta.</w:t>
            </w:r>
          </w:p>
          <w:p w:rsidR="00F97B2D" w:rsidRDefault="00F97B2D" w:rsidP="00562593">
            <w:pPr>
              <w:jc w:val="both"/>
            </w:pPr>
          </w:p>
          <w:p w:rsidR="00562593" w:rsidRPr="00562593" w:rsidRDefault="00562593" w:rsidP="00562593">
            <w:pPr>
              <w:jc w:val="both"/>
            </w:pPr>
          </w:p>
        </w:tc>
        <w:tc>
          <w:tcPr>
            <w:tcW w:w="3686" w:type="dxa"/>
          </w:tcPr>
          <w:p w:rsidR="00CA2D1A" w:rsidRPr="008B31F0" w:rsidRDefault="00562593" w:rsidP="004F3E3B">
            <w:r>
              <w:t xml:space="preserve"> </w:t>
            </w:r>
            <w:r w:rsidR="00C02863">
              <w:t>Kolegialaus organo sudarymas reglamentuotas kitais teisės aktais</w:t>
            </w:r>
          </w:p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10.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815" w:type="dxa"/>
          </w:tcPr>
          <w:p w:rsidR="00CA2D1A" w:rsidRPr="008B31F0" w:rsidRDefault="00E63B3E" w:rsidP="004F3E3B">
            <w:r>
              <w:t>Aprašo IV ir VI skyriai.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02" w:type="dxa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15" w:type="dxa"/>
          </w:tcPr>
          <w:p w:rsidR="00CA2D1A" w:rsidRPr="008B31F0" w:rsidRDefault="00C02863" w:rsidP="004F3E3B">
            <w:pPr>
              <w:keepNext/>
            </w:pPr>
            <w:r>
              <w:t>Netaikoma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0" w:type="dxa"/>
          </w:tcPr>
          <w:p w:rsidR="00CA2D1A" w:rsidRPr="008B31F0" w:rsidRDefault="00C02863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 xml:space="preserve">Teisės akto projektas nustato </w:t>
            </w:r>
            <w:bookmarkStart w:id="0" w:name="_GoBack"/>
            <w:bookmarkEnd w:id="0"/>
            <w:r w:rsidRPr="008B31F0">
              <w:t xml:space="preserve">jo nuostatoms įgyvendinti </w:t>
            </w:r>
            <w:r w:rsidRPr="008B31F0">
              <w:lastRenderedPageBreak/>
              <w:t>numatytų administracinių procedūrų ir sprendimo priėmimo konkrečius terminus</w:t>
            </w:r>
          </w:p>
        </w:tc>
        <w:tc>
          <w:tcPr>
            <w:tcW w:w="3815" w:type="dxa"/>
          </w:tcPr>
          <w:p w:rsidR="00CA2D1A" w:rsidRPr="008B31F0" w:rsidRDefault="008E759F" w:rsidP="00053DAD">
            <w:r>
              <w:lastRenderedPageBreak/>
              <w:t>Numatyta</w:t>
            </w:r>
            <w:r w:rsidR="00E63B3E">
              <w:t xml:space="preserve"> Aprašo </w:t>
            </w:r>
            <w:r w:rsidR="00053DAD">
              <w:t>34, 40, 42, 43, 49.6, 49.7, 50.10 , 51.5 ir 51.6</w:t>
            </w:r>
            <w:r w:rsidR="00E63B3E">
              <w:t xml:space="preserve"> </w:t>
            </w:r>
            <w:r w:rsidR="00E63B3E">
              <w:lastRenderedPageBreak/>
              <w:t>punktuose.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13.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15" w:type="dxa"/>
          </w:tcPr>
          <w:p w:rsidR="00CA2D1A" w:rsidRPr="008B31F0" w:rsidRDefault="008E759F" w:rsidP="004F3E3B">
            <w:r>
              <w:t>Nereglamentuota</w:t>
            </w:r>
            <w:r w:rsidR="00E63B3E">
              <w:t>.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15" w:type="dxa"/>
          </w:tcPr>
          <w:p w:rsidR="00CA2D1A" w:rsidRPr="008B31F0" w:rsidRDefault="00C02863" w:rsidP="004F3E3B">
            <w:pPr>
              <w:rPr>
                <w:b/>
              </w:rPr>
            </w:pPr>
            <w:r>
              <w:t>Netaikoma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15" w:type="dxa"/>
          </w:tcPr>
          <w:p w:rsidR="00CA2D1A" w:rsidRPr="008B31F0" w:rsidRDefault="00C02863" w:rsidP="004F3E3B">
            <w:r>
              <w:t>Aprašo 60 punktas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15" w:type="dxa"/>
          </w:tcPr>
          <w:p w:rsidR="00CA2D1A" w:rsidRPr="008B31F0" w:rsidRDefault="00C02863" w:rsidP="004F3E3B">
            <w:r>
              <w:t>Aprašo 60 punktas</w:t>
            </w:r>
          </w:p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17.</w:t>
            </w:r>
          </w:p>
        </w:tc>
        <w:tc>
          <w:tcPr>
            <w:tcW w:w="3302" w:type="dxa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15" w:type="dxa"/>
          </w:tcPr>
          <w:p w:rsidR="00CA2D1A" w:rsidRPr="00657693" w:rsidRDefault="00E63B3E" w:rsidP="00053DAD">
            <w:pPr>
              <w:keepNext/>
              <w:jc w:val="both"/>
            </w:pPr>
            <w:r>
              <w:t>Aprašo V</w:t>
            </w:r>
            <w:r w:rsidR="00053DAD">
              <w:t>II</w:t>
            </w:r>
            <w:r>
              <w:t xml:space="preserve"> skyrius</w:t>
            </w:r>
          </w:p>
        </w:tc>
        <w:tc>
          <w:tcPr>
            <w:tcW w:w="3686" w:type="dxa"/>
          </w:tcPr>
          <w:p w:rsidR="00CA2D1A" w:rsidRPr="008B31F0" w:rsidRDefault="00CA2D1A" w:rsidP="004F3E3B">
            <w:pPr>
              <w:keepNext/>
              <w:rPr>
                <w:b/>
              </w:rPr>
            </w:pPr>
          </w:p>
        </w:tc>
        <w:tc>
          <w:tcPr>
            <w:tcW w:w="2610" w:type="dxa"/>
          </w:tcPr>
          <w:p w:rsidR="00CA2D1A" w:rsidRPr="008B31F0" w:rsidRDefault="00C02863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15" w:type="dxa"/>
          </w:tcPr>
          <w:p w:rsidR="00CA2D1A" w:rsidRPr="008B31F0" w:rsidRDefault="00E36B4C" w:rsidP="00657693">
            <w:pPr>
              <w:jc w:val="both"/>
            </w:pPr>
            <w:r>
              <w:t>Nenustatyta</w:t>
            </w:r>
          </w:p>
        </w:tc>
        <w:tc>
          <w:tcPr>
            <w:tcW w:w="3686" w:type="dxa"/>
          </w:tcPr>
          <w:p w:rsidR="00CA2D1A" w:rsidRPr="008B31F0" w:rsidRDefault="00C02863" w:rsidP="004F3E3B">
            <w:r>
              <w:t>Reglamentuojama kitas teisės aktais</w:t>
            </w:r>
          </w:p>
        </w:tc>
        <w:tc>
          <w:tcPr>
            <w:tcW w:w="2610" w:type="dxa"/>
          </w:tcPr>
          <w:p w:rsidR="00CA2D1A" w:rsidRPr="008B31F0" w:rsidRDefault="00C02863" w:rsidP="004F3E3B">
            <w:r>
              <w:t>x</w:t>
            </w:r>
            <w:r w:rsidR="00CA2D1A" w:rsidRPr="008B31F0">
              <w:t xml:space="preserve">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7D5650" w:rsidRPr="008B31F0" w:rsidTr="00946A54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02" w:type="dxa"/>
          </w:tcPr>
          <w:p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15" w:type="dxa"/>
          </w:tcPr>
          <w:p w:rsidR="00CA2D1A" w:rsidRPr="008B31F0" w:rsidRDefault="00CA2D1A" w:rsidP="004F3E3B"/>
        </w:tc>
        <w:tc>
          <w:tcPr>
            <w:tcW w:w="3686" w:type="dxa"/>
          </w:tcPr>
          <w:p w:rsidR="00CA2D1A" w:rsidRPr="008B31F0" w:rsidRDefault="00CA2D1A" w:rsidP="004F3E3B"/>
        </w:tc>
        <w:tc>
          <w:tcPr>
            <w:tcW w:w="2610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</w:tbl>
    <w:p w:rsidR="00CA2D1A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tbl>
      <w:tblPr>
        <w:tblW w:w="0" w:type="auto"/>
        <w:tblInd w:w="108" w:type="dxa"/>
        <w:tblLook w:val="00A0"/>
      </w:tblPr>
      <w:tblGrid>
        <w:gridCol w:w="2392"/>
        <w:gridCol w:w="4593"/>
        <w:gridCol w:w="2375"/>
        <w:gridCol w:w="4751"/>
      </w:tblGrid>
      <w:tr w:rsidR="00CA2D1A" w:rsidRPr="008B31F0" w:rsidTr="004F3E3B">
        <w:trPr>
          <w:trHeight w:val="23"/>
        </w:trPr>
        <w:tc>
          <w:tcPr>
            <w:tcW w:w="2457" w:type="dxa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CA2D1A" w:rsidRPr="008B31F0" w:rsidRDefault="00CA2D1A" w:rsidP="004F3E3B"/>
          <w:p w:rsidR="00CA2D1A" w:rsidRPr="008B31F0" w:rsidRDefault="00657693" w:rsidP="004F3E3B">
            <w:r>
              <w:t xml:space="preserve">Socialinės paramos skyriaus </w:t>
            </w:r>
            <w:r w:rsidR="00946A54">
              <w:t xml:space="preserve">vedėja Angelė </w:t>
            </w:r>
            <w:proofErr w:type="spellStart"/>
            <w:r w:rsidR="00946A54">
              <w:t>Zabalujeva</w:t>
            </w:r>
            <w:proofErr w:type="spellEnd"/>
          </w:p>
        </w:tc>
        <w:tc>
          <w:tcPr>
            <w:tcW w:w="2434" w:type="dxa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:rsidR="00657693" w:rsidRDefault="00657693" w:rsidP="004F3E3B"/>
          <w:p w:rsidR="00657693" w:rsidRDefault="00657693" w:rsidP="00657693"/>
          <w:p w:rsidR="00CA2D1A" w:rsidRPr="00657693" w:rsidRDefault="00657693" w:rsidP="00657693">
            <w:r>
              <w:t xml:space="preserve">Juridinio skyriaus vedėja Rūta </w:t>
            </w:r>
            <w:proofErr w:type="spellStart"/>
            <w:r>
              <w:t>Vančienė</w:t>
            </w:r>
            <w:proofErr w:type="spellEnd"/>
          </w:p>
        </w:tc>
      </w:tr>
      <w:tr w:rsidR="00CA2D1A" w:rsidRPr="008B31F0" w:rsidTr="004F3E3B">
        <w:trPr>
          <w:trHeight w:val="23"/>
        </w:trPr>
        <w:tc>
          <w:tcPr>
            <w:tcW w:w="2457" w:type="dxa"/>
          </w:tcPr>
          <w:p w:rsidR="00CA2D1A" w:rsidRPr="008B31F0" w:rsidRDefault="00CA2D1A" w:rsidP="004F3E3B"/>
        </w:tc>
        <w:tc>
          <w:tcPr>
            <w:tcW w:w="4773" w:type="dxa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434" w:type="dxa"/>
          </w:tcPr>
          <w:p w:rsidR="00CA2D1A" w:rsidRPr="008B31F0" w:rsidRDefault="00CA2D1A" w:rsidP="004F3E3B"/>
        </w:tc>
        <w:tc>
          <w:tcPr>
            <w:tcW w:w="4946" w:type="dxa"/>
            <w:tcBorders>
              <w:top w:val="single" w:sz="4" w:space="0" w:color="auto"/>
            </w:tcBorders>
          </w:tcPr>
          <w:p w:rsidR="00CA2D1A" w:rsidRPr="008B31F0" w:rsidRDefault="00CA2D1A" w:rsidP="00E63B3E">
            <w:pPr>
              <w:ind w:left="-11" w:firstLine="11"/>
            </w:pPr>
            <w:r w:rsidRPr="008B31F0">
              <w:t>(pareigos)                           (vardas ir pavardė)</w:t>
            </w:r>
          </w:p>
        </w:tc>
      </w:tr>
      <w:tr w:rsidR="00CA2D1A" w:rsidRPr="008B31F0" w:rsidTr="004F3E3B">
        <w:trPr>
          <w:trHeight w:val="23"/>
        </w:trPr>
        <w:tc>
          <w:tcPr>
            <w:tcW w:w="2457" w:type="dxa"/>
          </w:tcPr>
          <w:p w:rsidR="00CA2D1A" w:rsidRPr="008B31F0" w:rsidRDefault="00CA2D1A" w:rsidP="004F3E3B"/>
        </w:tc>
        <w:tc>
          <w:tcPr>
            <w:tcW w:w="4773" w:type="dxa"/>
            <w:tcBorders>
              <w:bottom w:val="single" w:sz="4" w:space="0" w:color="auto"/>
            </w:tcBorders>
          </w:tcPr>
          <w:p w:rsidR="00CA2D1A" w:rsidRDefault="00CA2D1A" w:rsidP="004F3E3B"/>
          <w:p w:rsidR="00CA2D1A" w:rsidRPr="008B31F0" w:rsidRDefault="00CA2D1A" w:rsidP="004F3E3B"/>
        </w:tc>
        <w:tc>
          <w:tcPr>
            <w:tcW w:w="2434" w:type="dxa"/>
          </w:tcPr>
          <w:p w:rsidR="00CA2D1A" w:rsidRPr="008B31F0" w:rsidRDefault="00CA2D1A" w:rsidP="004F3E3B"/>
        </w:tc>
        <w:tc>
          <w:tcPr>
            <w:tcW w:w="4946" w:type="dxa"/>
            <w:tcBorders>
              <w:bottom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:rsidTr="004F3E3B">
        <w:trPr>
          <w:trHeight w:val="23"/>
        </w:trPr>
        <w:tc>
          <w:tcPr>
            <w:tcW w:w="2457" w:type="dxa"/>
          </w:tcPr>
          <w:p w:rsidR="00CA2D1A" w:rsidRPr="008B31F0" w:rsidRDefault="00CA2D1A" w:rsidP="004F3E3B"/>
        </w:tc>
        <w:tc>
          <w:tcPr>
            <w:tcW w:w="4773" w:type="dxa"/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434" w:type="dxa"/>
          </w:tcPr>
          <w:p w:rsidR="00CA2D1A" w:rsidRPr="008B31F0" w:rsidRDefault="00CA2D1A" w:rsidP="004F3E3B"/>
        </w:tc>
        <w:tc>
          <w:tcPr>
            <w:tcW w:w="4946" w:type="dxa"/>
            <w:tcBorders>
              <w:top w:val="single" w:sz="4" w:space="0" w:color="auto"/>
            </w:tcBorders>
          </w:tcPr>
          <w:p w:rsidR="00CA2D1A" w:rsidRPr="008B31F0" w:rsidRDefault="00CA2D1A" w:rsidP="00E63B3E">
            <w:pPr>
              <w:ind w:left="-11" w:firstLine="11"/>
            </w:pPr>
            <w:r w:rsidRPr="008B31F0">
              <w:t>(parašas)                                                 (data)</w:t>
            </w:r>
          </w:p>
        </w:tc>
      </w:tr>
    </w:tbl>
    <w:p w:rsidR="00A704A7" w:rsidRDefault="00FF17EB" w:rsidP="00E63B3E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7EB" w:rsidRDefault="00FF17EB" w:rsidP="00CA2D1A">
      <w:r>
        <w:separator/>
      </w:r>
    </w:p>
  </w:endnote>
  <w:endnote w:type="continuationSeparator" w:id="0">
    <w:p w:rsidR="00FF17EB" w:rsidRDefault="00FF17EB" w:rsidP="00CA2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7EB" w:rsidRDefault="00FF17EB" w:rsidP="00CA2D1A">
      <w:r>
        <w:separator/>
      </w:r>
    </w:p>
  </w:footnote>
  <w:footnote w:type="continuationSeparator" w:id="0">
    <w:p w:rsidR="00FF17EB" w:rsidRDefault="00FF17EB" w:rsidP="00CA2D1A">
      <w:r>
        <w:continuationSeparator/>
      </w:r>
    </w:p>
  </w:footnote>
  <w:footnote w:id="1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D1A"/>
    <w:rsid w:val="00053DAD"/>
    <w:rsid w:val="000B3861"/>
    <w:rsid w:val="002947A3"/>
    <w:rsid w:val="003544B3"/>
    <w:rsid w:val="00452398"/>
    <w:rsid w:val="00457DC6"/>
    <w:rsid w:val="00493AB0"/>
    <w:rsid w:val="004B3A20"/>
    <w:rsid w:val="00562593"/>
    <w:rsid w:val="00576BA5"/>
    <w:rsid w:val="005923C4"/>
    <w:rsid w:val="00657693"/>
    <w:rsid w:val="00764E6D"/>
    <w:rsid w:val="00795C33"/>
    <w:rsid w:val="007D5650"/>
    <w:rsid w:val="0081278C"/>
    <w:rsid w:val="00853110"/>
    <w:rsid w:val="008D2ADB"/>
    <w:rsid w:val="008E759F"/>
    <w:rsid w:val="00927DAA"/>
    <w:rsid w:val="00946A54"/>
    <w:rsid w:val="00974D39"/>
    <w:rsid w:val="009D16C2"/>
    <w:rsid w:val="00A021E7"/>
    <w:rsid w:val="00A5175D"/>
    <w:rsid w:val="00B218BF"/>
    <w:rsid w:val="00B60E5A"/>
    <w:rsid w:val="00BD54D4"/>
    <w:rsid w:val="00BE5D28"/>
    <w:rsid w:val="00C02863"/>
    <w:rsid w:val="00C83743"/>
    <w:rsid w:val="00CA2D1A"/>
    <w:rsid w:val="00CA57DC"/>
    <w:rsid w:val="00D0344C"/>
    <w:rsid w:val="00D26174"/>
    <w:rsid w:val="00D64245"/>
    <w:rsid w:val="00E36B4C"/>
    <w:rsid w:val="00E63B3E"/>
    <w:rsid w:val="00E710BD"/>
    <w:rsid w:val="00F97B2D"/>
    <w:rsid w:val="00FE59E6"/>
    <w:rsid w:val="00FF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.1/Litlex/LL.DLL?Tekstas=1?Id=132371&amp;Zd=&amp;B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4329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Inga Kornikaite</cp:lastModifiedBy>
  <cp:revision>2</cp:revision>
  <dcterms:created xsi:type="dcterms:W3CDTF">2016-03-14T06:27:00Z</dcterms:created>
  <dcterms:modified xsi:type="dcterms:W3CDTF">2016-03-14T06:27:00Z</dcterms:modified>
</cp:coreProperties>
</file>