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0904" w14:textId="3A1A8BB2" w:rsidR="00FC1CD3" w:rsidRDefault="00BF6E5F" w:rsidP="00BF6E5F">
      <w:pPr>
        <w:jc w:val="right"/>
        <w:rPr>
          <w:lang w:val="en-US"/>
        </w:rPr>
      </w:pPr>
      <w:proofErr w:type="spellStart"/>
      <w:r>
        <w:rPr>
          <w:lang w:val="en-US"/>
        </w:rPr>
        <w:t>Projektas</w:t>
      </w:r>
      <w:proofErr w:type="spellEnd"/>
    </w:p>
    <w:p w14:paraId="7AD5CCF0" w14:textId="276DFB3D" w:rsidR="00F320CA" w:rsidRDefault="00F320CA">
      <w:pPr>
        <w:jc w:val="center"/>
        <w:rPr>
          <w:b/>
          <w:bCs/>
          <w:lang w:val="en-US"/>
        </w:rPr>
      </w:pPr>
    </w:p>
    <w:p w14:paraId="414C2941" w14:textId="77777777" w:rsidR="00BF6E5F" w:rsidRDefault="00BF6E5F">
      <w:pPr>
        <w:jc w:val="center"/>
        <w:rPr>
          <w:b/>
          <w:bCs/>
          <w:lang w:val="en-US"/>
        </w:rPr>
      </w:pPr>
    </w:p>
    <w:p w14:paraId="772402E7" w14:textId="77777777" w:rsidR="00FC1CD3" w:rsidRDefault="00F20019">
      <w:pPr>
        <w:jc w:val="center"/>
        <w:rPr>
          <w:b/>
        </w:rPr>
      </w:pPr>
      <w:r>
        <w:rPr>
          <w:b/>
          <w:lang w:val="en-US"/>
        </w:rPr>
        <w:t xml:space="preserve">JURBARKO RAJONO </w:t>
      </w:r>
      <w:r>
        <w:rPr>
          <w:b/>
        </w:rPr>
        <w:t>SAVIVALDYBĖS TARYBA</w:t>
      </w:r>
    </w:p>
    <w:p w14:paraId="2A947A64" w14:textId="77777777" w:rsidR="00A749F9" w:rsidRDefault="00A749F9">
      <w:pPr>
        <w:rPr>
          <w:lang w:val="en-US"/>
        </w:rPr>
      </w:pPr>
    </w:p>
    <w:p w14:paraId="1D2819B5"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C0300BE" w14:textId="77777777">
        <w:trPr>
          <w:cantSplit/>
        </w:trPr>
        <w:tc>
          <w:tcPr>
            <w:tcW w:w="9654" w:type="dxa"/>
            <w:tcBorders>
              <w:top w:val="nil"/>
              <w:left w:val="nil"/>
              <w:bottom w:val="nil"/>
              <w:right w:val="nil"/>
            </w:tcBorders>
          </w:tcPr>
          <w:p w14:paraId="266F0441" w14:textId="77777777" w:rsidR="00FC1CD3" w:rsidRDefault="00F20019">
            <w:pPr>
              <w:pStyle w:val="Antrat1"/>
              <w:rPr>
                <w:caps/>
                <w:szCs w:val="24"/>
                <w:lang w:val="lt-LT"/>
              </w:rPr>
            </w:pPr>
            <w:r>
              <w:rPr>
                <w:szCs w:val="24"/>
                <w:lang w:val="lt-LT"/>
              </w:rPr>
              <w:t>SPRENDIMAS</w:t>
            </w:r>
          </w:p>
        </w:tc>
      </w:tr>
      <w:bookmarkStart w:id="0" w:name="DOC_DATA"/>
      <w:tr w:rsidR="00FC1CD3" w14:paraId="39E40896" w14:textId="77777777">
        <w:trPr>
          <w:cantSplit/>
        </w:trPr>
        <w:tc>
          <w:tcPr>
            <w:tcW w:w="9654" w:type="dxa"/>
            <w:tcBorders>
              <w:top w:val="nil"/>
              <w:left w:val="nil"/>
              <w:bottom w:val="nil"/>
              <w:right w:val="nil"/>
            </w:tcBorders>
          </w:tcPr>
          <w:p w14:paraId="6A40254E" w14:textId="70F6AA1C" w:rsidR="00FC1CD3" w:rsidRDefault="00277550">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 xml:space="preserve">DĖL </w:t>
            </w:r>
            <w:r w:rsidR="00BF6E5F">
              <w:rPr>
                <w:b/>
                <w:noProof/>
              </w:rPr>
              <w:t xml:space="preserve">JURBARKO RAJONO SAVIVALDYBĖS TARYBOS 2021 M. SPALIO 28 D. SPRENDIMO T2-287 </w:t>
            </w:r>
            <w:r w:rsidR="00983B19" w:rsidRPr="00FD0852">
              <w:rPr>
                <w:b/>
                <w:bCs/>
                <w:caps/>
              </w:rPr>
              <w:t>„</w:t>
            </w:r>
            <w:r w:rsidR="00BF6E5F">
              <w:rPr>
                <w:b/>
                <w:noProof/>
              </w:rPr>
              <w:t xml:space="preserve">DĖL </w:t>
            </w:r>
            <w:r w:rsidR="00F20019">
              <w:rPr>
                <w:b/>
                <w:noProof/>
              </w:rPr>
              <w:t>FIKSUOTŲ PAJAMŲ MOKESČIO DYDŽIŲ, TAIKOMŲ ĮSIGYJANT VERSLO LIUDIJIMUS 2022 IR VĖLESNIAIS METAIS VYKDOMAI VEIKLA</w:t>
            </w:r>
            <w:r w:rsidR="00BF6E5F">
              <w:rPr>
                <w:b/>
                <w:noProof/>
              </w:rPr>
              <w:t>I</w:t>
            </w:r>
            <w:r w:rsidR="00771408">
              <w:rPr>
                <w:b/>
                <w:noProof/>
              </w:rPr>
              <w:t>“</w:t>
            </w:r>
            <w:r w:rsidR="00BF6E5F">
              <w:rPr>
                <w:b/>
                <w:noProof/>
              </w:rPr>
              <w:t xml:space="preserve"> PAKEITIMO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B14E4C">
              <w:rPr>
                <w:b/>
              </w:rPr>
            </w:r>
            <w:r w:rsidR="00B14E4C">
              <w:rPr>
                <w:b/>
              </w:rPr>
              <w:fldChar w:fldCharType="separate"/>
            </w:r>
            <w:r>
              <w:rPr>
                <w:b/>
              </w:rPr>
              <w:fldChar w:fldCharType="end"/>
            </w:r>
          </w:p>
        </w:tc>
      </w:tr>
      <w:tr w:rsidR="00FC1CD3" w14:paraId="7D1406A2" w14:textId="77777777">
        <w:trPr>
          <w:cantSplit/>
        </w:trPr>
        <w:tc>
          <w:tcPr>
            <w:tcW w:w="9654" w:type="dxa"/>
            <w:tcBorders>
              <w:top w:val="nil"/>
              <w:left w:val="nil"/>
              <w:bottom w:val="nil"/>
              <w:right w:val="nil"/>
            </w:tcBorders>
          </w:tcPr>
          <w:p w14:paraId="7C2A47DE" w14:textId="77777777" w:rsidR="00FC1CD3" w:rsidRDefault="00FC1CD3">
            <w:pPr>
              <w:pStyle w:val="Antrats"/>
              <w:tabs>
                <w:tab w:val="left" w:pos="1296"/>
              </w:tabs>
              <w:jc w:val="center"/>
              <w:rPr>
                <w:b/>
                <w:caps/>
              </w:rPr>
            </w:pPr>
          </w:p>
        </w:tc>
      </w:tr>
      <w:tr w:rsidR="00FC1CD3" w14:paraId="741A108F" w14:textId="77777777" w:rsidTr="0053777E">
        <w:trPr>
          <w:cantSplit/>
          <w:trHeight w:val="432"/>
        </w:trPr>
        <w:tc>
          <w:tcPr>
            <w:tcW w:w="9654" w:type="dxa"/>
            <w:tcBorders>
              <w:top w:val="nil"/>
              <w:left w:val="nil"/>
              <w:bottom w:val="nil"/>
              <w:right w:val="nil"/>
            </w:tcBorders>
          </w:tcPr>
          <w:p w14:paraId="044F5FC7" w14:textId="113538E8" w:rsidR="00FC1CD3" w:rsidRDefault="00C40C87" w:rsidP="009A22DA">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{$NR}</w:t>
            </w:r>
            <w:r w:rsidRPr="00AE61D9">
              <w:fldChar w:fldCharType="end"/>
            </w:r>
          </w:p>
        </w:tc>
      </w:tr>
      <w:tr w:rsidR="00FC1CD3" w14:paraId="6754E554" w14:textId="77777777">
        <w:trPr>
          <w:cantSplit/>
        </w:trPr>
        <w:tc>
          <w:tcPr>
            <w:tcW w:w="9654" w:type="dxa"/>
            <w:tcBorders>
              <w:top w:val="nil"/>
              <w:left w:val="nil"/>
              <w:bottom w:val="nil"/>
              <w:right w:val="nil"/>
            </w:tcBorders>
          </w:tcPr>
          <w:p w14:paraId="26FA31CA" w14:textId="77777777" w:rsidR="00FC1CD3" w:rsidRDefault="00F20019">
            <w:pPr>
              <w:jc w:val="center"/>
            </w:pPr>
            <w:r>
              <w:t>Jurbarkas</w:t>
            </w:r>
          </w:p>
        </w:tc>
      </w:tr>
    </w:tbl>
    <w:p w14:paraId="64210CAF" w14:textId="20627221" w:rsidR="00FC1CD3" w:rsidRDefault="00FC1CD3"/>
    <w:p w14:paraId="7BC1323A" w14:textId="3DB0DDE5" w:rsidR="00420766" w:rsidRDefault="00420766"/>
    <w:p w14:paraId="38FBCED3" w14:textId="77777777" w:rsidR="00FC1CD3" w:rsidRDefault="00FC1CD3">
      <w:pPr>
        <w:jc w:val="both"/>
      </w:pPr>
    </w:p>
    <w:p w14:paraId="269AAB30" w14:textId="1CB45EEC" w:rsidR="00EF3CC3" w:rsidRPr="003E3A4F" w:rsidRDefault="00EF3CC3" w:rsidP="004C19E1">
      <w:pPr>
        <w:ind w:firstLine="840"/>
        <w:jc w:val="both"/>
        <w:rPr>
          <w:szCs w:val="24"/>
        </w:rPr>
      </w:pPr>
      <w:r w:rsidRPr="003E3A4F">
        <w:rPr>
          <w:szCs w:val="24"/>
        </w:rPr>
        <w:t>Vadovaudamasi Lietuvos Respublikos vietos savivaldos įstatymo 1</w:t>
      </w:r>
      <w:r w:rsidR="00983B19">
        <w:rPr>
          <w:szCs w:val="24"/>
        </w:rPr>
        <w:t>8</w:t>
      </w:r>
      <w:r w:rsidRPr="003E3A4F">
        <w:rPr>
          <w:szCs w:val="24"/>
        </w:rPr>
        <w:t xml:space="preserve"> straipsnio </w:t>
      </w:r>
      <w:r w:rsidR="00983B19">
        <w:rPr>
          <w:szCs w:val="24"/>
        </w:rPr>
        <w:t>1</w:t>
      </w:r>
      <w:r w:rsidRPr="003E3A4F">
        <w:rPr>
          <w:szCs w:val="24"/>
        </w:rPr>
        <w:t xml:space="preserve"> dali</w:t>
      </w:r>
      <w:r w:rsidR="00983B19">
        <w:rPr>
          <w:szCs w:val="24"/>
        </w:rPr>
        <w:t>mi</w:t>
      </w:r>
      <w:r w:rsidRPr="003E3A4F">
        <w:rPr>
          <w:szCs w:val="24"/>
        </w:rPr>
        <w:t>, Jurbarko rajono savivaldybės taryba n u s p r e n d ž i a:</w:t>
      </w:r>
    </w:p>
    <w:p w14:paraId="18A9901C" w14:textId="4FCD69A5" w:rsidR="00EF3CC3" w:rsidRPr="003E3A4F" w:rsidRDefault="00EF3CC3" w:rsidP="004C19E1">
      <w:pPr>
        <w:tabs>
          <w:tab w:val="left" w:pos="840"/>
        </w:tabs>
        <w:jc w:val="both"/>
        <w:rPr>
          <w:szCs w:val="24"/>
        </w:rPr>
      </w:pPr>
      <w:r w:rsidRPr="003E3A4F">
        <w:rPr>
          <w:szCs w:val="24"/>
        </w:rPr>
        <w:tab/>
        <w:t>1. P</w:t>
      </w:r>
      <w:r w:rsidR="00331DEC">
        <w:rPr>
          <w:szCs w:val="24"/>
        </w:rPr>
        <w:t xml:space="preserve">ripažinti netekusiu galios </w:t>
      </w:r>
      <w:r w:rsidRPr="003E3A4F">
        <w:rPr>
          <w:szCs w:val="24"/>
        </w:rPr>
        <w:t>Lengvatų, taikomų 20</w:t>
      </w:r>
      <w:r>
        <w:rPr>
          <w:szCs w:val="24"/>
        </w:rPr>
        <w:t>22</w:t>
      </w:r>
      <w:r w:rsidRPr="003E3A4F">
        <w:rPr>
          <w:szCs w:val="24"/>
        </w:rPr>
        <w:t xml:space="preserve"> </w:t>
      </w:r>
      <w:r>
        <w:rPr>
          <w:szCs w:val="24"/>
        </w:rPr>
        <w:t xml:space="preserve">ir vėlesniais </w:t>
      </w:r>
      <w:r w:rsidRPr="003E3A4F">
        <w:rPr>
          <w:szCs w:val="24"/>
        </w:rPr>
        <w:t>metais verslo liudijimus įsigyjantiems gyventojams, sąraš</w:t>
      </w:r>
      <w:r w:rsidR="00331DEC">
        <w:rPr>
          <w:szCs w:val="24"/>
        </w:rPr>
        <w:t>o</w:t>
      </w:r>
      <w:r w:rsidR="005537CF">
        <w:rPr>
          <w:szCs w:val="24"/>
        </w:rPr>
        <w:t xml:space="preserve">, patvirtinto </w:t>
      </w:r>
      <w:r w:rsidR="004C19E1">
        <w:rPr>
          <w:szCs w:val="24"/>
        </w:rPr>
        <w:t>Jurbarko rajono savivaldybės tarybos 2021 m. spalio 28 d. sprendimo Nr. T2-287 „D</w:t>
      </w:r>
      <w:r w:rsidR="004C19E1" w:rsidRPr="004C19E1">
        <w:rPr>
          <w:szCs w:val="24"/>
        </w:rPr>
        <w:t>ėl fiksuotų pajamų mokesčio dydžių, taikomų įsigyjant verslo liudijimus 2022 ir vėlesniais metais vykdomai veiklai</w:t>
      </w:r>
      <w:r w:rsidR="004C19E1">
        <w:rPr>
          <w:szCs w:val="24"/>
        </w:rPr>
        <w:t xml:space="preserve">“ 1.2 papunkčiu, </w:t>
      </w:r>
      <w:r w:rsidR="00331DEC">
        <w:rPr>
          <w:szCs w:val="24"/>
        </w:rPr>
        <w:t>3 punktą</w:t>
      </w:r>
      <w:r w:rsidRPr="003E3A4F">
        <w:rPr>
          <w:szCs w:val="24"/>
        </w:rPr>
        <w:t>.</w:t>
      </w:r>
    </w:p>
    <w:p w14:paraId="3C0A3FB0" w14:textId="77777777" w:rsidR="00EF3CC3" w:rsidRPr="003E3A4F" w:rsidRDefault="00EF3CC3" w:rsidP="004C19E1">
      <w:pPr>
        <w:tabs>
          <w:tab w:val="left" w:pos="840"/>
        </w:tabs>
        <w:jc w:val="both"/>
        <w:rPr>
          <w:szCs w:val="24"/>
        </w:rPr>
      </w:pPr>
      <w:r w:rsidRPr="003E3A4F">
        <w:rPr>
          <w:szCs w:val="24"/>
        </w:rPr>
        <w:tab/>
        <w:t xml:space="preserve">2. Paskelbti šį sprendimą Teisės aktų registre ir Jurbarko rajono savivaldybės interneto svetainėje. </w:t>
      </w:r>
    </w:p>
    <w:p w14:paraId="703A21A5" w14:textId="655B5FFF" w:rsidR="00EF3CC3" w:rsidRPr="003E3A4F" w:rsidRDefault="00EF3CC3" w:rsidP="004C19E1">
      <w:pPr>
        <w:tabs>
          <w:tab w:val="left" w:pos="840"/>
        </w:tabs>
        <w:jc w:val="both"/>
        <w:rPr>
          <w:szCs w:val="24"/>
        </w:rPr>
      </w:pPr>
      <w:r w:rsidRPr="003E3A4F">
        <w:rPr>
          <w:szCs w:val="24"/>
        </w:rPr>
        <w:tab/>
        <w:t>3. Nustatyti, kad šis sprendimas įsigalioja 20</w:t>
      </w:r>
      <w:r>
        <w:rPr>
          <w:szCs w:val="24"/>
        </w:rPr>
        <w:t>22</w:t>
      </w:r>
      <w:r w:rsidRPr="003E3A4F">
        <w:rPr>
          <w:szCs w:val="24"/>
        </w:rPr>
        <w:t xml:space="preserve"> m. </w:t>
      </w:r>
      <w:r w:rsidR="00BF6E5F">
        <w:rPr>
          <w:szCs w:val="24"/>
        </w:rPr>
        <w:t>vasario</w:t>
      </w:r>
      <w:r w:rsidRPr="003E3A4F">
        <w:rPr>
          <w:szCs w:val="24"/>
        </w:rPr>
        <w:t xml:space="preserve"> 1 d.</w:t>
      </w:r>
    </w:p>
    <w:p w14:paraId="63D9D4FC" w14:textId="58DB761D" w:rsidR="00FC1CD3" w:rsidRDefault="00FC1CD3"/>
    <w:p w14:paraId="3B9517C1" w14:textId="33964968" w:rsidR="00BF6E5F" w:rsidRDefault="00BF6E5F" w:rsidP="00BF6E5F">
      <w:pPr>
        <w:jc w:val="both"/>
      </w:pPr>
    </w:p>
    <w:p w14:paraId="278AD920" w14:textId="14B858E6" w:rsidR="00771408" w:rsidRDefault="00771408" w:rsidP="00BF6E5F">
      <w:pPr>
        <w:jc w:val="both"/>
      </w:pPr>
    </w:p>
    <w:p w14:paraId="7F3732D6" w14:textId="03A6404B" w:rsidR="00771408" w:rsidRDefault="00771408" w:rsidP="00BF6E5F">
      <w:pPr>
        <w:jc w:val="both"/>
      </w:pPr>
    </w:p>
    <w:p w14:paraId="61BD19E8" w14:textId="77777777" w:rsidR="00BF6E5F" w:rsidRDefault="00BF6E5F" w:rsidP="00BF6E5F">
      <w:pPr>
        <w:jc w:val="both"/>
      </w:pPr>
    </w:p>
    <w:tbl>
      <w:tblPr>
        <w:tblW w:w="0" w:type="auto"/>
        <w:tblInd w:w="108" w:type="dxa"/>
        <w:tblLook w:val="0000" w:firstRow="0" w:lastRow="0" w:firstColumn="0" w:lastColumn="0" w:noHBand="0" w:noVBand="0"/>
      </w:tblPr>
      <w:tblGrid>
        <w:gridCol w:w="4410"/>
        <w:gridCol w:w="4410"/>
      </w:tblGrid>
      <w:tr w:rsidR="00BF6E5F" w14:paraId="63B40D4E" w14:textId="77777777" w:rsidTr="00954DB3">
        <w:trPr>
          <w:trHeight w:val="180"/>
        </w:trPr>
        <w:tc>
          <w:tcPr>
            <w:tcW w:w="4410" w:type="dxa"/>
          </w:tcPr>
          <w:p w14:paraId="2E97CE78" w14:textId="77777777" w:rsidR="00BF6E5F" w:rsidRDefault="00BF6E5F" w:rsidP="00954DB3">
            <w:r>
              <w:t>Savivaldybės meras</w:t>
            </w:r>
          </w:p>
        </w:tc>
        <w:tc>
          <w:tcPr>
            <w:tcW w:w="4410" w:type="dxa"/>
          </w:tcPr>
          <w:p w14:paraId="10D8AEBC" w14:textId="77777777" w:rsidR="00BF6E5F" w:rsidRDefault="00BF6E5F" w:rsidP="00954DB3">
            <w:pPr>
              <w:jc w:val="right"/>
            </w:pPr>
          </w:p>
        </w:tc>
      </w:tr>
    </w:tbl>
    <w:p w14:paraId="0D6F4D38" w14:textId="77777777" w:rsidR="00BF6E5F" w:rsidRDefault="00BF6E5F" w:rsidP="00BF6E5F"/>
    <w:p w14:paraId="2AB4B3F4" w14:textId="716864D0" w:rsidR="00771408" w:rsidRDefault="00771408" w:rsidP="00BF6E5F"/>
    <w:p w14:paraId="4CF08336" w14:textId="41E68E00" w:rsidR="00771408" w:rsidRDefault="00771408" w:rsidP="00BF6E5F"/>
    <w:p w14:paraId="44E2789B" w14:textId="3F39ADA6" w:rsidR="00771408" w:rsidRDefault="00771408" w:rsidP="00BF6E5F"/>
    <w:p w14:paraId="22C77CE4" w14:textId="77777777" w:rsidR="00771408" w:rsidRDefault="00771408" w:rsidP="00BF6E5F"/>
    <w:p w14:paraId="3F36F18E" w14:textId="77777777" w:rsidR="00BF6E5F" w:rsidRDefault="00BF6E5F" w:rsidP="00BF6E5F"/>
    <w:p w14:paraId="39DDAEA7" w14:textId="77777777" w:rsidR="00BF6E5F" w:rsidRDefault="00BF6E5F" w:rsidP="00BF6E5F">
      <w:r>
        <w:t xml:space="preserve">Vizos: </w:t>
      </w:r>
    </w:p>
    <w:p w14:paraId="088213E3" w14:textId="77777777" w:rsidR="00BF6E5F" w:rsidRDefault="00BF6E5F" w:rsidP="00BF6E5F">
      <w:r>
        <w:t>Administracijos direktorius R. Bastys</w:t>
      </w:r>
    </w:p>
    <w:p w14:paraId="0141AF6E" w14:textId="77777777" w:rsidR="00BF6E5F" w:rsidRDefault="00BF6E5F" w:rsidP="00BF6E5F">
      <w:r>
        <w:t>Teisės ir civilinės metrikacijos skyriaus vedėja R. Vančienė</w:t>
      </w:r>
    </w:p>
    <w:p w14:paraId="4FF3B8C5" w14:textId="39407B5A" w:rsidR="00BF6E5F" w:rsidRPr="00DC3222" w:rsidRDefault="00BF6E5F" w:rsidP="00BF6E5F">
      <w:r>
        <w:t xml:space="preserve">Teisės ir civilinės metrikacijos </w:t>
      </w:r>
      <w:r w:rsidR="00DC3222" w:rsidRPr="00DC3222">
        <w:t>skyriaus vyr. specialistė A. Tamošaitytė</w:t>
      </w:r>
    </w:p>
    <w:p w14:paraId="5404450B" w14:textId="77777777" w:rsidR="00BF6E5F" w:rsidRDefault="00BF6E5F" w:rsidP="00BF6E5F">
      <w:r>
        <w:t>Dokumentų ir viešųjų ryšių skyriaus vyr. specialistas A. Gvildys</w:t>
      </w:r>
    </w:p>
    <w:p w14:paraId="42D99661" w14:textId="1FD0FE3B" w:rsidR="00BF6E5F" w:rsidRDefault="00BF6E5F" w:rsidP="00BF6E5F">
      <w:r>
        <w:t>Finansų skyriaus vedėja A. Stoškienė</w:t>
      </w:r>
    </w:p>
    <w:p w14:paraId="306AE9D8" w14:textId="77777777" w:rsidR="00BF6E5F" w:rsidRDefault="00BF6E5F" w:rsidP="00BF6E5F"/>
    <w:p w14:paraId="1099DECF" w14:textId="77777777" w:rsidR="00BF6E5F" w:rsidRDefault="00BF6E5F" w:rsidP="00BF6E5F"/>
    <w:p w14:paraId="4B497F29" w14:textId="77777777" w:rsidR="00BF6E5F" w:rsidRDefault="00BF6E5F" w:rsidP="00BF6E5F">
      <w:r>
        <w:t>Parengė</w:t>
      </w:r>
    </w:p>
    <w:p w14:paraId="64350FB7" w14:textId="77777777" w:rsidR="00BF6E5F" w:rsidRDefault="00BF6E5F" w:rsidP="00BF6E5F"/>
    <w:bookmarkStart w:id="1" w:name="CREATOR_SHOWS"/>
    <w:p w14:paraId="018C05EB" w14:textId="41E8EB9C" w:rsidR="00BF6E5F" w:rsidRDefault="00BF6E5F" w:rsidP="00BF6E5F">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Gražina Ilgevičienė</w:t>
      </w:r>
      <w:r>
        <w:rPr>
          <w:lang w:eastAsia="de-DE"/>
        </w:rPr>
        <w:fldChar w:fldCharType="end"/>
      </w:r>
      <w:bookmarkEnd w:id="1"/>
      <w:r>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(8 447) 70 156</w:t>
      </w:r>
      <w:r>
        <w:rPr>
          <w:lang w:eastAsia="de-DE"/>
        </w:rPr>
        <w:fldChar w:fldCharType="end"/>
      </w:r>
      <w:bookmarkEnd w:id="2"/>
      <w:r>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grazina.ilgeviciene@jurbarkas.lt</w:t>
      </w:r>
      <w:r>
        <w:rPr>
          <w:lang w:eastAsia="de-DE"/>
        </w:rPr>
        <w:fldChar w:fldCharType="end"/>
      </w:r>
      <w:bookmarkEnd w:id="3"/>
    </w:p>
    <w:p w14:paraId="1FA387D5" w14:textId="77777777" w:rsidR="00363C01" w:rsidRDefault="00363C01" w:rsidP="00BF6E5F">
      <w:pPr>
        <w:pStyle w:val="Antrats"/>
        <w:tabs>
          <w:tab w:val="clear" w:pos="4153"/>
          <w:tab w:val="clear" w:pos="8306"/>
        </w:tabs>
        <w:rPr>
          <w:lang w:eastAsia="de-DE"/>
        </w:rPr>
      </w:pPr>
    </w:p>
    <w:bookmarkStart w:id="4" w:name="NOW_DATE1"/>
    <w:p w14:paraId="73CBAE48" w14:textId="77777777" w:rsidR="00BF6E5F" w:rsidRDefault="00BF6E5F" w:rsidP="00BF6E5F">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fldChar w:fldCharType="end"/>
      </w:r>
      <w:bookmarkEnd w:id="4"/>
      <w:r>
        <w:t xml:space="preserve"> </w:t>
      </w:r>
    </w:p>
    <w:p w14:paraId="36CCC1FB" w14:textId="77777777" w:rsidR="00FC1CD3" w:rsidRDefault="00FC1CD3"/>
    <w:p w14:paraId="14B75132" w14:textId="77777777" w:rsidR="00EF3CC3" w:rsidRDefault="00EF3CC3">
      <w:pPr>
        <w:sectPr w:rsidR="00EF3CC3" w:rsidSect="00FC1CD3">
          <w:headerReference w:type="even" r:id="rId7"/>
          <w:headerReference w:type="default" r:id="rId8"/>
          <w:pgSz w:w="11906" w:h="16838" w:code="9"/>
          <w:pgMar w:top="1134" w:right="680" w:bottom="1134" w:left="1701" w:header="1134" w:footer="726" w:gutter="0"/>
          <w:cols w:space="1296"/>
          <w:titlePg/>
          <w:docGrid w:linePitch="360"/>
        </w:sectPr>
      </w:pPr>
    </w:p>
    <w:p w14:paraId="3CC7A253" w14:textId="77777777" w:rsidR="00983B19" w:rsidRDefault="00983B19" w:rsidP="00EF3CC3">
      <w:pPr>
        <w:ind w:left="4862"/>
        <w:rPr>
          <w:szCs w:val="24"/>
        </w:rPr>
      </w:pPr>
    </w:p>
    <w:p w14:paraId="51AB1DD9" w14:textId="77777777" w:rsidR="00983B19" w:rsidRDefault="00983B19" w:rsidP="00983B19">
      <w:pPr>
        <w:pStyle w:val="Pavadinimas"/>
        <w:jc w:val="left"/>
        <w:rPr>
          <w:b w:val="0"/>
        </w:rPr>
      </w:pPr>
    </w:p>
    <w:p w14:paraId="2CA4E38D" w14:textId="77777777" w:rsidR="00983B19" w:rsidRDefault="00983B19" w:rsidP="00983B19">
      <w:pPr>
        <w:pStyle w:val="Pavadinimas"/>
        <w:pBdr>
          <w:bottom w:val="single" w:sz="12" w:space="1" w:color="auto"/>
        </w:pBdr>
      </w:pPr>
      <w:r>
        <w:t>JURBARKO RAJONO SAVIVALDYBĖS ADMINISTRACIJOS</w:t>
      </w:r>
    </w:p>
    <w:p w14:paraId="4CBA6A45" w14:textId="4DB7651F" w:rsidR="00983B19" w:rsidRDefault="00983B19" w:rsidP="00983B19">
      <w:pPr>
        <w:pStyle w:val="Pavadinimas"/>
        <w:pBdr>
          <w:bottom w:val="single" w:sz="12" w:space="1" w:color="auto"/>
        </w:pBdr>
      </w:pPr>
      <w:r>
        <w:t>FINANSŲ SKYRIUS</w:t>
      </w:r>
    </w:p>
    <w:p w14:paraId="6B1D60D3" w14:textId="77777777" w:rsidR="00983B19" w:rsidRDefault="00983B19" w:rsidP="00983B19">
      <w:pPr>
        <w:pStyle w:val="Paantrat"/>
      </w:pPr>
    </w:p>
    <w:p w14:paraId="61185F62" w14:textId="77777777" w:rsidR="00983B19" w:rsidRDefault="00983B19" w:rsidP="00983B19">
      <w:pPr>
        <w:pStyle w:val="Paantrat"/>
      </w:pPr>
      <w:r>
        <w:t>AIŠKINAMASIS RAŠTAS</w:t>
      </w:r>
    </w:p>
    <w:p w14:paraId="7F101F9E" w14:textId="77777777" w:rsidR="00983B19" w:rsidRDefault="00983B19" w:rsidP="00983B19">
      <w:pPr>
        <w:jc w:val="center"/>
        <w:rPr>
          <w:caps/>
        </w:rPr>
      </w:pPr>
    </w:p>
    <w:p w14:paraId="2899FB9E" w14:textId="4FE95BAA" w:rsidR="00983B19" w:rsidRDefault="00983B19" w:rsidP="00983B19">
      <w:pPr>
        <w:jc w:val="center"/>
        <w:rPr>
          <w:b/>
          <w:bCs/>
          <w:caps/>
        </w:rPr>
      </w:pPr>
      <w:r>
        <w:rPr>
          <w:b/>
          <w:bCs/>
          <w:caps/>
        </w:rPr>
        <w:t xml:space="preserve">PRIE JURBARKO RAJONO SAVIVALDYBĖS TARYBOS SPRENDIMO </w:t>
      </w:r>
      <w:r w:rsidRPr="00FD0852">
        <w:rPr>
          <w:b/>
          <w:bCs/>
          <w:caps/>
        </w:rPr>
        <w:t>„</w:t>
      </w: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 xml:space="preserve">DĖL JURBARKO RAJONO SAVIVALDYBĖS TARYBOS 2021 M. SPALIO 28 D. SPRENDIMO T2-287 </w:t>
      </w:r>
      <w:r w:rsidRPr="00FD0852">
        <w:rPr>
          <w:b/>
          <w:bCs/>
          <w:caps/>
        </w:rPr>
        <w:t>„</w:t>
      </w:r>
      <w:r>
        <w:rPr>
          <w:b/>
          <w:noProof/>
        </w:rPr>
        <w:t>DĖL FIKSUOTŲ PAJAMŲ MOKESČIO DYDŽIŲ, TAIKOMŲ ĮSIGYJANT VERSLO LIUDIJIMUS 2022 IR VĖLESNIAIS METAIS VYKDOMAI VEIKLAI" PAKEITIMO</w:t>
      </w:r>
      <w:r>
        <w:rPr>
          <w:b/>
        </w:rPr>
        <w:fldChar w:fldCharType="end"/>
      </w:r>
      <w:r>
        <w:rPr>
          <w:b/>
        </w:rPr>
        <w:fldChar w:fldCharType="begin">
          <w:ffData>
            <w:name w:val="DOC_DATA"/>
            <w:enabled/>
            <w:calcOnExit w:val="0"/>
            <w:textInput>
              <w:default w:val="{$DOC_DATA}"/>
            </w:textInput>
          </w:ffData>
        </w:fldChar>
      </w:r>
      <w:r>
        <w:rPr>
          <w:b/>
        </w:rPr>
        <w:instrText xml:space="preserve"> FORMTEXT </w:instrText>
      </w:r>
      <w:r w:rsidR="00B14E4C">
        <w:rPr>
          <w:b/>
        </w:rPr>
      </w:r>
      <w:r w:rsidR="00B14E4C">
        <w:rPr>
          <w:b/>
        </w:rPr>
        <w:fldChar w:fldCharType="separate"/>
      </w:r>
      <w:r>
        <w:rPr>
          <w:b/>
        </w:rPr>
        <w:fldChar w:fldCharType="end"/>
      </w:r>
      <w:r w:rsidRPr="00FD0852">
        <w:rPr>
          <w:b/>
          <w:szCs w:val="26"/>
        </w:rPr>
        <w:t>“</w:t>
      </w:r>
      <w:r w:rsidRPr="00031B2B">
        <w:rPr>
          <w:b/>
          <w:szCs w:val="26"/>
        </w:rPr>
        <w:t xml:space="preserve"> </w:t>
      </w:r>
      <w:r>
        <w:rPr>
          <w:b/>
          <w:bCs/>
          <w:caps/>
        </w:rPr>
        <w:t>projekto</w:t>
      </w:r>
    </w:p>
    <w:p w14:paraId="34AEB575" w14:textId="77777777" w:rsidR="00983B19" w:rsidRDefault="00983B19" w:rsidP="00983B19">
      <w:pPr>
        <w:tabs>
          <w:tab w:val="left" w:pos="567"/>
        </w:tabs>
        <w:jc w:val="center"/>
      </w:pPr>
    </w:p>
    <w:p w14:paraId="2D742033" w14:textId="77777777" w:rsidR="00983B19" w:rsidRDefault="00983B19" w:rsidP="00983B19">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{$WDATA}</w:t>
      </w:r>
      <w:r>
        <w:fldChar w:fldCharType="end"/>
      </w:r>
    </w:p>
    <w:p w14:paraId="5B03FE12" w14:textId="77777777" w:rsidR="00983B19" w:rsidRDefault="00983B19" w:rsidP="00983B19">
      <w:pPr>
        <w:tabs>
          <w:tab w:val="left" w:pos="0"/>
        </w:tabs>
        <w:jc w:val="center"/>
      </w:pPr>
      <w:r>
        <w:t>Jurbarkas</w:t>
      </w:r>
    </w:p>
    <w:p w14:paraId="2C1183CE" w14:textId="77777777" w:rsidR="00983B19" w:rsidRDefault="00983B19" w:rsidP="00983B19">
      <w:pPr>
        <w:tabs>
          <w:tab w:val="left" w:pos="0"/>
        </w:tabs>
        <w:jc w:val="center"/>
      </w:pPr>
    </w:p>
    <w:p w14:paraId="36FA3C0B" w14:textId="77777777" w:rsidR="00983B19" w:rsidRPr="00EA5193" w:rsidRDefault="00983B19" w:rsidP="00983B19">
      <w:pPr>
        <w:rPr>
          <w:szCs w:val="24"/>
        </w:rPr>
      </w:pPr>
    </w:p>
    <w:tbl>
      <w:tblPr>
        <w:tblW w:w="0" w:type="auto"/>
        <w:tblLook w:val="0000" w:firstRow="0" w:lastRow="0" w:firstColumn="0" w:lastColumn="0" w:noHBand="0" w:noVBand="0"/>
      </w:tblPr>
      <w:tblGrid>
        <w:gridCol w:w="9525"/>
      </w:tblGrid>
      <w:tr w:rsidR="00983B19" w:rsidRPr="00EA5193" w14:paraId="4432755A" w14:textId="77777777" w:rsidTr="00954DB3">
        <w:tc>
          <w:tcPr>
            <w:tcW w:w="9854" w:type="dxa"/>
          </w:tcPr>
          <w:p w14:paraId="38DE5367" w14:textId="77777777" w:rsidR="00983B19" w:rsidRPr="00EA5193" w:rsidRDefault="00983B19" w:rsidP="00954DB3">
            <w:pPr>
              <w:tabs>
                <w:tab w:val="left" w:pos="0"/>
              </w:tabs>
              <w:rPr>
                <w:b/>
                <w:bCs/>
                <w:szCs w:val="24"/>
              </w:rPr>
            </w:pPr>
            <w:r w:rsidRPr="00EA5193">
              <w:rPr>
                <w:b/>
                <w:bCs/>
                <w:i/>
                <w:iCs/>
                <w:szCs w:val="24"/>
              </w:rPr>
              <w:t>1. Parengto projekto tikslai ir uždaviniai.</w:t>
            </w:r>
          </w:p>
        </w:tc>
      </w:tr>
      <w:tr w:rsidR="00983B19" w:rsidRPr="00EA5193" w14:paraId="74418B42" w14:textId="77777777" w:rsidTr="00954DB3">
        <w:tc>
          <w:tcPr>
            <w:tcW w:w="9854" w:type="dxa"/>
          </w:tcPr>
          <w:p w14:paraId="5ECCDCDA" w14:textId="5464E423" w:rsidR="00983B19" w:rsidRPr="00EA5193" w:rsidRDefault="00420766" w:rsidP="00954DB3">
            <w:pPr>
              <w:tabs>
                <w:tab w:val="left" w:pos="0"/>
              </w:tabs>
              <w:jc w:val="both"/>
              <w:rPr>
                <w:szCs w:val="24"/>
              </w:rPr>
            </w:pPr>
            <w:r w:rsidRPr="00EA5193">
              <w:rPr>
                <w:szCs w:val="24"/>
              </w:rPr>
              <w:t xml:space="preserve">Išbraukti iš „Lengvatų, taikomų 2022 ir vėlesniais metais verslo liudijimus įsigyjantiems gyventojams, sąrašo“ 3 punktą. </w:t>
            </w:r>
          </w:p>
        </w:tc>
      </w:tr>
      <w:tr w:rsidR="00983B19" w:rsidRPr="00EA5193" w14:paraId="34A5B7AC" w14:textId="77777777" w:rsidTr="00954DB3">
        <w:tc>
          <w:tcPr>
            <w:tcW w:w="9854" w:type="dxa"/>
          </w:tcPr>
          <w:p w14:paraId="11884AAE" w14:textId="77777777" w:rsidR="00983B19" w:rsidRPr="00EA5193" w:rsidRDefault="00983B19" w:rsidP="00954DB3">
            <w:pPr>
              <w:tabs>
                <w:tab w:val="left" w:pos="0"/>
              </w:tabs>
              <w:rPr>
                <w:b/>
                <w:bCs/>
                <w:szCs w:val="24"/>
              </w:rPr>
            </w:pPr>
            <w:r w:rsidRPr="00EA5193">
              <w:rPr>
                <w:b/>
                <w:bCs/>
                <w:i/>
                <w:iCs/>
                <w:szCs w:val="24"/>
              </w:rPr>
              <w:t>2. Kaip šiuo metu yra sureguliuoti projekte aptarti klausimai.</w:t>
            </w:r>
          </w:p>
        </w:tc>
      </w:tr>
      <w:tr w:rsidR="00983B19" w:rsidRPr="00EA5193" w14:paraId="6BC2A931" w14:textId="77777777" w:rsidTr="00954DB3">
        <w:tc>
          <w:tcPr>
            <w:tcW w:w="9854" w:type="dxa"/>
          </w:tcPr>
          <w:p w14:paraId="54841FBE" w14:textId="150C7490" w:rsidR="00983B19" w:rsidRPr="00EA5193" w:rsidRDefault="00420766" w:rsidP="00EA5193">
            <w:pPr>
              <w:rPr>
                <w:szCs w:val="24"/>
              </w:rPr>
            </w:pPr>
            <w:r w:rsidRPr="00EA5193">
              <w:rPr>
                <w:szCs w:val="24"/>
              </w:rPr>
              <w:t>Šiuo metu galioja Jurbarko rajono savivaldybės tarybos 2021 m. spalio 28 d. sprendimas T2-287 „Dėl fiksuotų pajamų</w:t>
            </w:r>
            <w:r w:rsidR="00EA5193" w:rsidRPr="00EA5193">
              <w:rPr>
                <w:szCs w:val="24"/>
              </w:rPr>
              <w:t xml:space="preserve"> mokesčio dydžių, taikomų įsigyjant verslo liudijimus 2022 ir vėlesniais metais vykdomai veiklai“</w:t>
            </w:r>
          </w:p>
        </w:tc>
      </w:tr>
      <w:tr w:rsidR="00983B19" w:rsidRPr="00EA5193" w14:paraId="5E1A182F" w14:textId="77777777" w:rsidTr="00954DB3">
        <w:tc>
          <w:tcPr>
            <w:tcW w:w="9854" w:type="dxa"/>
          </w:tcPr>
          <w:p w14:paraId="25E1AF98" w14:textId="77777777" w:rsidR="00983B19" w:rsidRPr="00EA5193" w:rsidRDefault="00983B19" w:rsidP="00954DB3">
            <w:pPr>
              <w:tabs>
                <w:tab w:val="left" w:pos="0"/>
              </w:tabs>
              <w:rPr>
                <w:b/>
                <w:bCs/>
                <w:i/>
                <w:iCs/>
                <w:szCs w:val="24"/>
              </w:rPr>
            </w:pPr>
            <w:r w:rsidRPr="00EA5193">
              <w:rPr>
                <w:b/>
                <w:bCs/>
                <w:i/>
                <w:iCs/>
                <w:szCs w:val="24"/>
              </w:rPr>
              <w:t>3. Kokių pozityvių rezultatų laukiama.</w:t>
            </w:r>
          </w:p>
        </w:tc>
      </w:tr>
      <w:tr w:rsidR="00983B19" w:rsidRPr="00EA5193" w14:paraId="74B5A052" w14:textId="77777777" w:rsidTr="00954DB3">
        <w:tc>
          <w:tcPr>
            <w:tcW w:w="9854" w:type="dxa"/>
          </w:tcPr>
          <w:p w14:paraId="2A1EA53B" w14:textId="6EB54D2C" w:rsidR="00983B19" w:rsidRPr="00EA5193" w:rsidRDefault="00EA5193" w:rsidP="00954DB3">
            <w:pPr>
              <w:tabs>
                <w:tab w:val="left" w:pos="0"/>
              </w:tabs>
              <w:jc w:val="both"/>
              <w:rPr>
                <w:szCs w:val="24"/>
              </w:rPr>
            </w:pPr>
            <w:r w:rsidRPr="00EA5193">
              <w:rPr>
                <w:szCs w:val="24"/>
              </w:rPr>
              <w:t>Lengvata pasinaudos daugiau gyventojų.</w:t>
            </w:r>
          </w:p>
        </w:tc>
      </w:tr>
      <w:tr w:rsidR="00983B19" w:rsidRPr="00EA5193" w14:paraId="4E51E2AD" w14:textId="77777777" w:rsidTr="00954DB3">
        <w:tc>
          <w:tcPr>
            <w:tcW w:w="9854" w:type="dxa"/>
          </w:tcPr>
          <w:p w14:paraId="76D46C76" w14:textId="77777777" w:rsidR="00983B19" w:rsidRPr="00EA5193" w:rsidRDefault="00983B19" w:rsidP="00954DB3">
            <w:pPr>
              <w:tabs>
                <w:tab w:val="left" w:pos="0"/>
              </w:tabs>
              <w:jc w:val="both"/>
              <w:rPr>
                <w:b/>
                <w:bCs/>
                <w:i/>
                <w:iCs/>
                <w:szCs w:val="24"/>
              </w:rPr>
            </w:pPr>
            <w:r w:rsidRPr="00EA5193">
              <w:rPr>
                <w:b/>
                <w:bCs/>
                <w:i/>
                <w:iCs/>
                <w:szCs w:val="24"/>
              </w:rPr>
              <w:t>4. Galimos neigiamos priimto projekto pasekmės ir kokių priemonių reikėtų imtis, kad tokių pasekmių būtų išvengta.</w:t>
            </w:r>
          </w:p>
        </w:tc>
      </w:tr>
      <w:tr w:rsidR="00983B19" w:rsidRPr="00EA5193" w14:paraId="4C54F41F" w14:textId="77777777" w:rsidTr="00954DB3">
        <w:tc>
          <w:tcPr>
            <w:tcW w:w="9854" w:type="dxa"/>
          </w:tcPr>
          <w:p w14:paraId="3671F1C5" w14:textId="24E30B0D" w:rsidR="00983B19" w:rsidRPr="00EA5193" w:rsidRDefault="00EA5193" w:rsidP="00954DB3">
            <w:pPr>
              <w:tabs>
                <w:tab w:val="left" w:pos="0"/>
              </w:tabs>
              <w:jc w:val="both"/>
              <w:rPr>
                <w:szCs w:val="24"/>
              </w:rPr>
            </w:pPr>
            <w:r w:rsidRPr="00EA5193">
              <w:rPr>
                <w:szCs w:val="24"/>
              </w:rPr>
              <w:t>Bus gaut</w:t>
            </w:r>
            <w:r w:rsidR="00DC3222">
              <w:rPr>
                <w:szCs w:val="24"/>
              </w:rPr>
              <w:t>a</w:t>
            </w:r>
            <w:r w:rsidRPr="00EA5193">
              <w:rPr>
                <w:szCs w:val="24"/>
              </w:rPr>
              <w:t xml:space="preserve"> mažiau pajamų į biudžetą.</w:t>
            </w:r>
          </w:p>
        </w:tc>
      </w:tr>
      <w:tr w:rsidR="00983B19" w:rsidRPr="00EA5193" w14:paraId="3EF78D45" w14:textId="77777777" w:rsidTr="00954DB3">
        <w:tc>
          <w:tcPr>
            <w:tcW w:w="9854" w:type="dxa"/>
          </w:tcPr>
          <w:p w14:paraId="72263621" w14:textId="77777777" w:rsidR="00983B19" w:rsidRPr="00EA5193" w:rsidRDefault="00983B19" w:rsidP="00954DB3">
            <w:pPr>
              <w:tabs>
                <w:tab w:val="left" w:pos="0"/>
              </w:tabs>
              <w:jc w:val="both"/>
              <w:rPr>
                <w:b/>
                <w:bCs/>
                <w:i/>
                <w:iCs/>
                <w:szCs w:val="24"/>
              </w:rPr>
            </w:pPr>
            <w:r w:rsidRPr="00EA5193">
              <w:rPr>
                <w:b/>
                <w:bCs/>
                <w:i/>
                <w:iCs/>
                <w:szCs w:val="24"/>
              </w:rPr>
              <w:t>5. Kokie šios srities aktai tebegalioja (pateikiamas aktų sąrašas) ir kokius galiojančius aktus būtina pakeisti ar panaikinti, priėmus teikiamą projektą.</w:t>
            </w:r>
          </w:p>
        </w:tc>
      </w:tr>
      <w:tr w:rsidR="00983B19" w:rsidRPr="00EA5193" w14:paraId="487DCE9C" w14:textId="77777777" w:rsidTr="00954DB3">
        <w:tc>
          <w:tcPr>
            <w:tcW w:w="9854" w:type="dxa"/>
          </w:tcPr>
          <w:p w14:paraId="39F35E84" w14:textId="3E76E827" w:rsidR="00983B19" w:rsidRPr="00EA5193" w:rsidRDefault="00EA5193" w:rsidP="00954DB3">
            <w:pPr>
              <w:tabs>
                <w:tab w:val="left" w:pos="0"/>
              </w:tabs>
              <w:jc w:val="both"/>
              <w:rPr>
                <w:szCs w:val="24"/>
              </w:rPr>
            </w:pPr>
            <w:r w:rsidRPr="00EA5193">
              <w:rPr>
                <w:szCs w:val="24"/>
              </w:rPr>
              <w:t>Nėra</w:t>
            </w:r>
          </w:p>
        </w:tc>
      </w:tr>
      <w:tr w:rsidR="00983B19" w:rsidRPr="00EA5193" w14:paraId="612A3D04" w14:textId="77777777" w:rsidTr="00954DB3">
        <w:tc>
          <w:tcPr>
            <w:tcW w:w="9854" w:type="dxa"/>
          </w:tcPr>
          <w:p w14:paraId="1D6C1CA7" w14:textId="77777777" w:rsidR="00983B19" w:rsidRPr="00EA5193" w:rsidRDefault="00983B19" w:rsidP="00954DB3">
            <w:pPr>
              <w:tabs>
                <w:tab w:val="left" w:pos="0"/>
              </w:tabs>
              <w:rPr>
                <w:b/>
                <w:bCs/>
                <w:i/>
                <w:iCs/>
                <w:szCs w:val="24"/>
              </w:rPr>
            </w:pPr>
            <w:r w:rsidRPr="00EA5193">
              <w:rPr>
                <w:b/>
                <w:bCs/>
                <w:i/>
                <w:iCs/>
                <w:szCs w:val="24"/>
              </w:rPr>
              <w:t>6. Projekto rengimo metu gauti specialistų vertinimai ir išvados, ekonominiai apskaičiavimai (sąmatos), konkretūs finansavimo šaltiniai.</w:t>
            </w:r>
          </w:p>
          <w:p w14:paraId="5793EE4F" w14:textId="733322D5" w:rsidR="00983B19" w:rsidRPr="00EA5193" w:rsidRDefault="00EA5193" w:rsidP="00954DB3">
            <w:pPr>
              <w:tabs>
                <w:tab w:val="left" w:pos="0"/>
              </w:tabs>
              <w:rPr>
                <w:szCs w:val="24"/>
              </w:rPr>
            </w:pPr>
            <w:r w:rsidRPr="00EA5193">
              <w:rPr>
                <w:szCs w:val="24"/>
              </w:rPr>
              <w:t>Nėra</w:t>
            </w:r>
          </w:p>
        </w:tc>
      </w:tr>
      <w:tr w:rsidR="00983B19" w:rsidRPr="00EA5193" w14:paraId="4347C920" w14:textId="77777777" w:rsidTr="00954DB3">
        <w:tc>
          <w:tcPr>
            <w:tcW w:w="9854" w:type="dxa"/>
          </w:tcPr>
          <w:p w14:paraId="2C73A702" w14:textId="77777777" w:rsidR="00983B19" w:rsidRPr="00EA5193" w:rsidRDefault="00983B19" w:rsidP="00954DB3">
            <w:pPr>
              <w:tabs>
                <w:tab w:val="left" w:pos="0"/>
              </w:tabs>
              <w:jc w:val="both"/>
              <w:rPr>
                <w:b/>
                <w:i/>
                <w:szCs w:val="24"/>
              </w:rPr>
            </w:pPr>
            <w:r w:rsidRPr="00EA5193">
              <w:rPr>
                <w:b/>
                <w:i/>
                <w:szCs w:val="24"/>
              </w:rPr>
              <w:t>7. Ar reikalingas projekto antikorupcinis vertinimas.</w:t>
            </w:r>
          </w:p>
          <w:p w14:paraId="6BDAC86C" w14:textId="48478CA9" w:rsidR="00983B19" w:rsidRPr="00EA5193" w:rsidRDefault="00EA5193" w:rsidP="00954DB3">
            <w:pPr>
              <w:tabs>
                <w:tab w:val="left" w:pos="0"/>
              </w:tabs>
              <w:jc w:val="both"/>
              <w:rPr>
                <w:szCs w:val="24"/>
              </w:rPr>
            </w:pPr>
            <w:r w:rsidRPr="00EA5193">
              <w:rPr>
                <w:szCs w:val="24"/>
              </w:rPr>
              <w:t>Nereikalingas</w:t>
            </w:r>
          </w:p>
        </w:tc>
      </w:tr>
      <w:tr w:rsidR="00983B19" w:rsidRPr="00EA5193" w14:paraId="595162B2" w14:textId="77777777" w:rsidTr="00954DB3">
        <w:tc>
          <w:tcPr>
            <w:tcW w:w="9854" w:type="dxa"/>
          </w:tcPr>
          <w:p w14:paraId="33FBAE10" w14:textId="77777777" w:rsidR="00983B19" w:rsidRPr="00EA5193" w:rsidRDefault="00983B19" w:rsidP="00954DB3">
            <w:pPr>
              <w:tabs>
                <w:tab w:val="left" w:pos="0"/>
              </w:tabs>
              <w:jc w:val="both"/>
              <w:rPr>
                <w:b/>
                <w:i/>
                <w:szCs w:val="24"/>
              </w:rPr>
            </w:pPr>
            <w:r w:rsidRPr="00EA5193">
              <w:rPr>
                <w:b/>
                <w:i/>
                <w:szCs w:val="24"/>
              </w:rPr>
              <w:t>8. Projekto iniciatorius, autorius ar autorių grupė.</w:t>
            </w:r>
          </w:p>
        </w:tc>
      </w:tr>
      <w:tr w:rsidR="00983B19" w:rsidRPr="00EA5193" w14:paraId="29A891A9" w14:textId="77777777" w:rsidTr="00954DB3">
        <w:tc>
          <w:tcPr>
            <w:tcW w:w="9854" w:type="dxa"/>
          </w:tcPr>
          <w:p w14:paraId="22441A10" w14:textId="30A7D0C2" w:rsidR="00983B19" w:rsidRPr="00EA5193" w:rsidRDefault="00EA5193" w:rsidP="00954DB3">
            <w:pPr>
              <w:tabs>
                <w:tab w:val="left" w:pos="0"/>
              </w:tabs>
              <w:jc w:val="both"/>
              <w:rPr>
                <w:szCs w:val="24"/>
              </w:rPr>
            </w:pPr>
            <w:r w:rsidRPr="00EA5193">
              <w:rPr>
                <w:szCs w:val="24"/>
              </w:rPr>
              <w:t>Finans</w:t>
            </w:r>
            <w:r w:rsidR="00DC3222">
              <w:rPr>
                <w:szCs w:val="24"/>
              </w:rPr>
              <w:t>ų</w:t>
            </w:r>
            <w:r w:rsidRPr="00EA5193">
              <w:rPr>
                <w:szCs w:val="24"/>
              </w:rPr>
              <w:t xml:space="preserve"> skyrius</w:t>
            </w:r>
          </w:p>
        </w:tc>
      </w:tr>
      <w:tr w:rsidR="00983B19" w:rsidRPr="00EA5193" w14:paraId="319E6548" w14:textId="77777777" w:rsidTr="00954DB3">
        <w:tc>
          <w:tcPr>
            <w:tcW w:w="9854" w:type="dxa"/>
          </w:tcPr>
          <w:p w14:paraId="42E8BC90" w14:textId="77777777" w:rsidR="00983B19" w:rsidRPr="00EA5193" w:rsidRDefault="00983B19" w:rsidP="00954DB3">
            <w:pPr>
              <w:tabs>
                <w:tab w:val="left" w:pos="0"/>
              </w:tabs>
              <w:rPr>
                <w:b/>
                <w:bCs/>
                <w:i/>
                <w:iCs/>
                <w:szCs w:val="24"/>
              </w:rPr>
            </w:pPr>
            <w:r w:rsidRPr="00EA5193">
              <w:rPr>
                <w:b/>
                <w:bCs/>
                <w:i/>
                <w:iCs/>
                <w:szCs w:val="24"/>
              </w:rPr>
              <w:t>9. Kiti, autorių nuomone, reikalingi pagrindimai ir paaiškinimai.</w:t>
            </w:r>
          </w:p>
          <w:p w14:paraId="7596B4AE" w14:textId="6FF4D72C" w:rsidR="00983B19" w:rsidRPr="00EA5193" w:rsidRDefault="00EA5193" w:rsidP="00954DB3">
            <w:pPr>
              <w:tabs>
                <w:tab w:val="left" w:pos="0"/>
              </w:tabs>
              <w:rPr>
                <w:szCs w:val="24"/>
              </w:rPr>
            </w:pPr>
            <w:r w:rsidRPr="00EA5193">
              <w:rPr>
                <w:szCs w:val="24"/>
              </w:rPr>
              <w:t>Nėra</w:t>
            </w:r>
          </w:p>
        </w:tc>
      </w:tr>
      <w:tr w:rsidR="00983B19" w:rsidRPr="00EA5193" w14:paraId="34F2576E" w14:textId="77777777" w:rsidTr="00954DB3">
        <w:tc>
          <w:tcPr>
            <w:tcW w:w="9854" w:type="dxa"/>
          </w:tcPr>
          <w:p w14:paraId="24A04E8E" w14:textId="77777777" w:rsidR="00983B19" w:rsidRPr="00EA5193" w:rsidRDefault="00983B19" w:rsidP="00954DB3">
            <w:pPr>
              <w:tabs>
                <w:tab w:val="left" w:pos="0"/>
              </w:tabs>
              <w:jc w:val="both"/>
              <w:rPr>
                <w:b/>
                <w:i/>
                <w:szCs w:val="24"/>
              </w:rPr>
            </w:pPr>
            <w:r w:rsidRPr="00EA5193">
              <w:rPr>
                <w:b/>
                <w:i/>
                <w:szCs w:val="24"/>
              </w:rPr>
              <w:t>10. Sprendimas įteikiamas (kam ir kiek egz.).</w:t>
            </w:r>
          </w:p>
        </w:tc>
      </w:tr>
      <w:tr w:rsidR="00983B19" w:rsidRPr="00EA5193" w14:paraId="36402B25" w14:textId="77777777" w:rsidTr="00954DB3">
        <w:tc>
          <w:tcPr>
            <w:tcW w:w="9854" w:type="dxa"/>
          </w:tcPr>
          <w:p w14:paraId="5010F97E" w14:textId="306C8405" w:rsidR="00983B19" w:rsidRPr="00EA5193" w:rsidRDefault="00EA5193" w:rsidP="00954DB3">
            <w:pPr>
              <w:tabs>
                <w:tab w:val="left" w:pos="0"/>
              </w:tabs>
              <w:jc w:val="both"/>
              <w:rPr>
                <w:bCs/>
                <w:iCs/>
                <w:szCs w:val="24"/>
              </w:rPr>
            </w:pPr>
            <w:r w:rsidRPr="00EA5193">
              <w:rPr>
                <w:bCs/>
                <w:iCs/>
                <w:szCs w:val="24"/>
              </w:rPr>
              <w:t>Rengėjams</w:t>
            </w:r>
          </w:p>
        </w:tc>
      </w:tr>
    </w:tbl>
    <w:p w14:paraId="56C3F226" w14:textId="77777777" w:rsidR="00983B19" w:rsidRPr="00EA5193" w:rsidRDefault="00983B19" w:rsidP="00983B19">
      <w:pPr>
        <w:rPr>
          <w:szCs w:val="24"/>
        </w:rPr>
      </w:pPr>
    </w:p>
    <w:p w14:paraId="362D6F20" w14:textId="77777777" w:rsidR="00983B19" w:rsidRDefault="00983B19" w:rsidP="00983B19">
      <w:pPr>
        <w:tabs>
          <w:tab w:val="left" w:pos="567"/>
        </w:tabs>
      </w:pPr>
    </w:p>
    <w:p w14:paraId="080CF7DE" w14:textId="77777777" w:rsidR="00983B19" w:rsidRDefault="00983B19" w:rsidP="00983B19">
      <w:pPr>
        <w:tabs>
          <w:tab w:val="left" w:pos="567"/>
        </w:tabs>
      </w:pPr>
    </w:p>
    <w:p w14:paraId="748DBFEF" w14:textId="77777777" w:rsidR="00983B19" w:rsidRDefault="00983B19" w:rsidP="00983B19">
      <w:r>
        <w:t>Parengė</w:t>
      </w:r>
    </w:p>
    <w:p w14:paraId="7D092E2E" w14:textId="77777777" w:rsidR="00983B19" w:rsidRDefault="00983B19" w:rsidP="00983B19"/>
    <w:p w14:paraId="643D8C60" w14:textId="77777777" w:rsidR="00983B19" w:rsidRDefault="00983B19" w:rsidP="00983B1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Gražina Ilgevičienė</w:t>
      </w:r>
      <w:r>
        <w:rPr>
          <w:lang w:eastAsia="de-DE"/>
        </w:rPr>
        <w:fldChar w:fldCharType="end"/>
      </w:r>
    </w:p>
    <w:p w14:paraId="283F2DD8" w14:textId="77777777" w:rsidR="00983B19" w:rsidRDefault="00983B19" w:rsidP="00983B19">
      <w:pPr>
        <w:pStyle w:val="Antrats"/>
        <w:tabs>
          <w:tab w:val="clear" w:pos="4153"/>
          <w:tab w:val="clear" w:pos="8306"/>
        </w:tabs>
        <w:rPr>
          <w:lang w:eastAsia="de-DE"/>
        </w:rPr>
      </w:pPr>
    </w:p>
    <w:p w14:paraId="1ACE91AF" w14:textId="77777777" w:rsidR="00983B19" w:rsidRDefault="00983B19" w:rsidP="00983B19">
      <w:pPr>
        <w:pStyle w:val="Antrats"/>
        <w:tabs>
          <w:tab w:val="clear" w:pos="4153"/>
          <w:tab w:val="clear" w:pos="8306"/>
        </w:tabs>
      </w:pPr>
      <w:r>
        <w:fldChar w:fldCharType="begin">
          <w:ffData>
            <w:name w:val="NOW_DATE1"/>
            <w:enabled/>
            <w:calcOnExit w:val="0"/>
            <w:textInput>
              <w:default w:val="{$NOW_DATE1}"/>
            </w:textInput>
          </w:ffData>
        </w:fldChar>
      </w:r>
      <w:r>
        <w:instrText xml:space="preserve"> FORMTEXT </w:instrText>
      </w:r>
      <w:r>
        <w:fldChar w:fldCharType="separate"/>
      </w:r>
      <w:r>
        <w:rPr>
          <w:noProof/>
        </w:rPr>
        <w:t>{$DATA}</w:t>
      </w:r>
      <w:r>
        <w:rPr>
          <w:noProof/>
        </w:rPr>
        <w:fldChar w:fldCharType="end"/>
      </w:r>
    </w:p>
    <w:p w14:paraId="01B7B4BB" w14:textId="79F4050A" w:rsidR="00983B19" w:rsidRDefault="00983B19" w:rsidP="00983B19"/>
    <w:p w14:paraId="248FE1FD" w14:textId="253D53E1" w:rsidR="00EF3CC3" w:rsidRPr="003E3A4F" w:rsidRDefault="00EF3CC3" w:rsidP="00EF3CC3">
      <w:pPr>
        <w:ind w:left="4862"/>
        <w:rPr>
          <w:szCs w:val="24"/>
        </w:rPr>
      </w:pPr>
      <w:r w:rsidRPr="003E3A4F">
        <w:rPr>
          <w:szCs w:val="24"/>
        </w:rPr>
        <w:lastRenderedPageBreak/>
        <w:t>PATVIRTINTA</w:t>
      </w:r>
    </w:p>
    <w:p w14:paraId="3EDD7A9B" w14:textId="77777777" w:rsidR="00EF3CC3" w:rsidRPr="003E3A4F" w:rsidRDefault="00EF3CC3" w:rsidP="00EF3CC3">
      <w:pPr>
        <w:ind w:left="4862"/>
        <w:rPr>
          <w:szCs w:val="24"/>
        </w:rPr>
      </w:pPr>
      <w:r w:rsidRPr="003E3A4F">
        <w:rPr>
          <w:szCs w:val="24"/>
        </w:rPr>
        <w:t xml:space="preserve">Jurbarko rajono savivaldybės tarybos </w:t>
      </w:r>
    </w:p>
    <w:p w14:paraId="51B56207" w14:textId="4BF6552D" w:rsidR="00EF3CC3" w:rsidRPr="003E3A4F" w:rsidRDefault="00EF3CC3" w:rsidP="00EF3CC3">
      <w:pPr>
        <w:ind w:left="4862"/>
        <w:rPr>
          <w:szCs w:val="24"/>
        </w:rPr>
      </w:pPr>
      <w:r w:rsidRPr="003E3A4F">
        <w:rPr>
          <w:szCs w:val="24"/>
        </w:rPr>
        <w:t>20</w:t>
      </w:r>
      <w:r>
        <w:rPr>
          <w:szCs w:val="24"/>
        </w:rPr>
        <w:t>21</w:t>
      </w:r>
      <w:r w:rsidRPr="003E3A4F">
        <w:rPr>
          <w:szCs w:val="24"/>
        </w:rPr>
        <w:t xml:space="preserve"> m. </w:t>
      </w:r>
      <w:r>
        <w:rPr>
          <w:szCs w:val="24"/>
        </w:rPr>
        <w:t>spalio</w:t>
      </w:r>
      <w:r w:rsidRPr="003E3A4F">
        <w:rPr>
          <w:szCs w:val="24"/>
        </w:rPr>
        <w:t xml:space="preserve"> </w:t>
      </w:r>
      <w:r>
        <w:rPr>
          <w:szCs w:val="24"/>
        </w:rPr>
        <w:t>28</w:t>
      </w:r>
      <w:r w:rsidRPr="003E3A4F">
        <w:rPr>
          <w:szCs w:val="24"/>
        </w:rPr>
        <w:t xml:space="preserve"> d. sprendimu Nr. </w:t>
      </w:r>
      <w:r>
        <w:rPr>
          <w:szCs w:val="24"/>
        </w:rPr>
        <w:t>T2-287</w:t>
      </w:r>
    </w:p>
    <w:p w14:paraId="367E7897" w14:textId="77777777" w:rsidR="00EF3CC3" w:rsidRPr="003E3A4F" w:rsidRDefault="00EF3CC3" w:rsidP="00EF3CC3">
      <w:pPr>
        <w:ind w:left="4862"/>
        <w:rPr>
          <w:b/>
          <w:szCs w:val="24"/>
        </w:rPr>
      </w:pPr>
    </w:p>
    <w:p w14:paraId="2CE50EBA" w14:textId="77777777" w:rsidR="00EF3CC3" w:rsidRPr="003E3A4F" w:rsidRDefault="00EF3CC3" w:rsidP="00EF3CC3">
      <w:pPr>
        <w:ind w:left="4862"/>
        <w:rPr>
          <w:b/>
          <w:szCs w:val="24"/>
        </w:rPr>
      </w:pPr>
    </w:p>
    <w:p w14:paraId="6A72AF30" w14:textId="13B6DE69" w:rsidR="00EF3CC3" w:rsidRPr="00EF3CC3" w:rsidRDefault="00EF3CC3" w:rsidP="00EF3CC3">
      <w:pPr>
        <w:pStyle w:val="MAZAS"/>
        <w:spacing w:line="240" w:lineRule="auto"/>
        <w:ind w:firstLine="0"/>
        <w:jc w:val="center"/>
        <w:rPr>
          <w:sz w:val="24"/>
          <w:szCs w:val="56"/>
        </w:rPr>
      </w:pPr>
      <w:r w:rsidRPr="003E3A4F">
        <w:rPr>
          <w:b/>
          <w:color w:val="auto"/>
          <w:sz w:val="24"/>
          <w:szCs w:val="24"/>
          <w:lang w:val="lt-LT"/>
        </w:rPr>
        <w:t>LENGVATŲ, TAIKOMŲ 20</w:t>
      </w:r>
      <w:r>
        <w:rPr>
          <w:b/>
          <w:color w:val="auto"/>
          <w:sz w:val="24"/>
          <w:szCs w:val="24"/>
          <w:lang w:val="lt-LT"/>
        </w:rPr>
        <w:t>22</w:t>
      </w:r>
      <w:r w:rsidRPr="00EF3CC3">
        <w:rPr>
          <w:szCs w:val="24"/>
        </w:rPr>
        <w:t xml:space="preserve"> </w:t>
      </w:r>
      <w:r w:rsidRPr="00EF3CC3">
        <w:rPr>
          <w:b/>
          <w:bCs/>
          <w:sz w:val="24"/>
          <w:szCs w:val="56"/>
        </w:rPr>
        <w:t>IR VĖLESNIAIS</w:t>
      </w:r>
      <w:r>
        <w:rPr>
          <w:sz w:val="24"/>
          <w:szCs w:val="56"/>
        </w:rPr>
        <w:t xml:space="preserve"> </w:t>
      </w:r>
      <w:r w:rsidRPr="003E3A4F">
        <w:rPr>
          <w:b/>
          <w:color w:val="auto"/>
          <w:sz w:val="24"/>
          <w:szCs w:val="24"/>
          <w:lang w:val="lt-LT"/>
        </w:rPr>
        <w:t>METAIS VERSLO LIUDIJIMUS ĮSIGYJANTIEMS GYVENTOJAMS, SĄRAŠAS</w:t>
      </w:r>
    </w:p>
    <w:p w14:paraId="3F2B0E55" w14:textId="697F1D69" w:rsidR="00EF3CC3" w:rsidRDefault="00EF3CC3" w:rsidP="00EF3CC3">
      <w:pPr>
        <w:pStyle w:val="MAZAS"/>
        <w:ind w:firstLine="0"/>
        <w:jc w:val="center"/>
        <w:rPr>
          <w:b/>
          <w:color w:val="auto"/>
          <w:sz w:val="24"/>
          <w:szCs w:val="24"/>
          <w:lang w:val="lt-LT"/>
        </w:rPr>
      </w:pPr>
    </w:p>
    <w:p w14:paraId="4C9838FC" w14:textId="77777777" w:rsidR="00EF3CC3" w:rsidRPr="003E3A4F" w:rsidRDefault="00EF3CC3" w:rsidP="00EF3CC3">
      <w:pPr>
        <w:pStyle w:val="MAZAS"/>
        <w:ind w:firstLine="0"/>
        <w:jc w:val="center"/>
        <w:rPr>
          <w:b/>
          <w:color w:val="auto"/>
          <w:sz w:val="24"/>
          <w:szCs w:val="24"/>
          <w:lang w:val="lt-LT"/>
        </w:rPr>
      </w:pPr>
    </w:p>
    <w:p w14:paraId="71D19975" w14:textId="77777777" w:rsidR="00EF3CC3" w:rsidRDefault="00EF3CC3" w:rsidP="00EF3CC3">
      <w:pPr>
        <w:numPr>
          <w:ilvl w:val="0"/>
          <w:numId w:val="11"/>
        </w:numPr>
        <w:tabs>
          <w:tab w:val="left" w:pos="851"/>
        </w:tabs>
        <w:ind w:left="0" w:firstLine="567"/>
        <w:jc w:val="both"/>
        <w:rPr>
          <w:szCs w:val="24"/>
        </w:rPr>
      </w:pPr>
      <w:r w:rsidRPr="003E3A4F">
        <w:rPr>
          <w:szCs w:val="24"/>
        </w:rPr>
        <w:t>Lengvatų, kurios gali būti taikomos verslo liudijimus įsigyjantiems asmenims, rūšys ir jų dydžiai:</w:t>
      </w:r>
    </w:p>
    <w:p w14:paraId="10F921C1" w14:textId="77777777" w:rsidR="00EF3CC3" w:rsidRPr="003E3A4F" w:rsidRDefault="00EF3CC3" w:rsidP="00EF3CC3">
      <w:pPr>
        <w:ind w:left="927"/>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11"/>
        <w:gridCol w:w="7242"/>
        <w:gridCol w:w="1562"/>
      </w:tblGrid>
      <w:tr w:rsidR="00EF3CC3" w:rsidRPr="003E3A4F" w14:paraId="29032099" w14:textId="77777777" w:rsidTr="009E7EE6">
        <w:trPr>
          <w:trHeight w:val="489"/>
        </w:trPr>
        <w:tc>
          <w:tcPr>
            <w:tcW w:w="711" w:type="dxa"/>
            <w:vAlign w:val="center"/>
          </w:tcPr>
          <w:p w14:paraId="4090B384" w14:textId="77777777" w:rsidR="00EF3CC3" w:rsidRPr="003E3A4F" w:rsidRDefault="00EF3CC3" w:rsidP="009E7EE6">
            <w:pPr>
              <w:jc w:val="center"/>
              <w:rPr>
                <w:b/>
                <w:szCs w:val="24"/>
              </w:rPr>
            </w:pPr>
            <w:r w:rsidRPr="003E3A4F">
              <w:rPr>
                <w:b/>
                <w:szCs w:val="24"/>
              </w:rPr>
              <w:t>Kodas</w:t>
            </w:r>
          </w:p>
        </w:tc>
        <w:tc>
          <w:tcPr>
            <w:tcW w:w="7364" w:type="dxa"/>
            <w:vAlign w:val="center"/>
          </w:tcPr>
          <w:p w14:paraId="0A43B6F5" w14:textId="77777777" w:rsidR="00EF3CC3" w:rsidRPr="003E3A4F" w:rsidRDefault="00EF3CC3" w:rsidP="009E7EE6">
            <w:pPr>
              <w:jc w:val="center"/>
              <w:rPr>
                <w:b/>
                <w:szCs w:val="24"/>
              </w:rPr>
            </w:pPr>
            <w:r w:rsidRPr="003E3A4F">
              <w:rPr>
                <w:b/>
                <w:szCs w:val="24"/>
              </w:rPr>
              <w:t>Verslo liudijimus įsigyjantys asmenys, kuriems taikomos lengvatos</w:t>
            </w:r>
          </w:p>
        </w:tc>
        <w:tc>
          <w:tcPr>
            <w:tcW w:w="1571" w:type="dxa"/>
            <w:shd w:val="clear" w:color="auto" w:fill="auto"/>
            <w:vAlign w:val="center"/>
          </w:tcPr>
          <w:p w14:paraId="62CE8CF9" w14:textId="77777777" w:rsidR="00EF3CC3" w:rsidRPr="003E3A4F" w:rsidRDefault="00EF3CC3" w:rsidP="009E7EE6">
            <w:pPr>
              <w:jc w:val="center"/>
              <w:rPr>
                <w:b/>
                <w:szCs w:val="24"/>
              </w:rPr>
            </w:pPr>
            <w:r w:rsidRPr="003E3A4F">
              <w:rPr>
                <w:b/>
                <w:szCs w:val="24"/>
              </w:rPr>
              <w:t>Lengvatos dydis (proc.)</w:t>
            </w:r>
          </w:p>
        </w:tc>
      </w:tr>
      <w:tr w:rsidR="00EF3CC3" w:rsidRPr="003E3A4F" w14:paraId="795C5142" w14:textId="77777777" w:rsidTr="009E7EE6">
        <w:trPr>
          <w:trHeight w:val="372"/>
        </w:trPr>
        <w:tc>
          <w:tcPr>
            <w:tcW w:w="711" w:type="dxa"/>
          </w:tcPr>
          <w:p w14:paraId="780655E2" w14:textId="77777777" w:rsidR="00EF3CC3" w:rsidRPr="003E3A4F" w:rsidRDefault="00EF3CC3" w:rsidP="009E7EE6">
            <w:pPr>
              <w:jc w:val="both"/>
              <w:rPr>
                <w:szCs w:val="24"/>
              </w:rPr>
            </w:pPr>
            <w:r w:rsidRPr="003E3A4F">
              <w:rPr>
                <w:szCs w:val="24"/>
              </w:rPr>
              <w:t>101</w:t>
            </w:r>
          </w:p>
        </w:tc>
        <w:tc>
          <w:tcPr>
            <w:tcW w:w="7364" w:type="dxa"/>
          </w:tcPr>
          <w:p w14:paraId="2619CA2C" w14:textId="77777777" w:rsidR="00EF3CC3" w:rsidRPr="003E3A4F" w:rsidRDefault="00EF3CC3" w:rsidP="009E7EE6">
            <w:pPr>
              <w:jc w:val="both"/>
              <w:rPr>
                <w:szCs w:val="24"/>
              </w:rPr>
            </w:pPr>
            <w:r w:rsidRPr="003E3A4F">
              <w:rPr>
                <w:szCs w:val="24"/>
              </w:rPr>
              <w:t>gyventojai, sulaukę senatvės pensijos amžiaus</w:t>
            </w:r>
          </w:p>
        </w:tc>
        <w:tc>
          <w:tcPr>
            <w:tcW w:w="1571" w:type="dxa"/>
          </w:tcPr>
          <w:p w14:paraId="466DB241" w14:textId="77777777" w:rsidR="00EF3CC3" w:rsidRPr="003E3A4F" w:rsidRDefault="00EF3CC3" w:rsidP="009E7EE6">
            <w:pPr>
              <w:jc w:val="center"/>
              <w:rPr>
                <w:szCs w:val="24"/>
              </w:rPr>
            </w:pPr>
            <w:r w:rsidRPr="003E3A4F">
              <w:rPr>
                <w:szCs w:val="24"/>
              </w:rPr>
              <w:t>30</w:t>
            </w:r>
          </w:p>
        </w:tc>
      </w:tr>
      <w:tr w:rsidR="00EF3CC3" w:rsidRPr="003E3A4F" w14:paraId="00535727" w14:textId="77777777" w:rsidTr="009E7EE6">
        <w:trPr>
          <w:trHeight w:val="407"/>
        </w:trPr>
        <w:tc>
          <w:tcPr>
            <w:tcW w:w="711" w:type="dxa"/>
          </w:tcPr>
          <w:p w14:paraId="65A65586" w14:textId="77777777" w:rsidR="00EF3CC3" w:rsidRPr="003E3A4F" w:rsidRDefault="00EF3CC3" w:rsidP="009E7EE6">
            <w:pPr>
              <w:jc w:val="both"/>
              <w:rPr>
                <w:szCs w:val="24"/>
              </w:rPr>
            </w:pPr>
            <w:r w:rsidRPr="003E3A4F">
              <w:rPr>
                <w:szCs w:val="24"/>
              </w:rPr>
              <w:t>102</w:t>
            </w:r>
          </w:p>
        </w:tc>
        <w:tc>
          <w:tcPr>
            <w:tcW w:w="7364" w:type="dxa"/>
          </w:tcPr>
          <w:p w14:paraId="392BDBF5" w14:textId="77777777" w:rsidR="00EF3CC3" w:rsidRPr="003E3A4F" w:rsidRDefault="00EF3CC3" w:rsidP="009E7EE6">
            <w:pPr>
              <w:jc w:val="both"/>
              <w:rPr>
                <w:szCs w:val="24"/>
              </w:rPr>
            </w:pPr>
            <w:r w:rsidRPr="003E3A4F">
              <w:rPr>
                <w:szCs w:val="24"/>
              </w:rPr>
              <w:t xml:space="preserve">bedarbiai, įregistruoti </w:t>
            </w:r>
            <w:r>
              <w:rPr>
                <w:szCs w:val="24"/>
              </w:rPr>
              <w:t>Užimtumo tarnyboje</w:t>
            </w:r>
          </w:p>
        </w:tc>
        <w:tc>
          <w:tcPr>
            <w:tcW w:w="1571" w:type="dxa"/>
          </w:tcPr>
          <w:p w14:paraId="62A21D85" w14:textId="77777777" w:rsidR="00EF3CC3" w:rsidRPr="003E3A4F" w:rsidRDefault="00EF3CC3" w:rsidP="009E7EE6">
            <w:pPr>
              <w:jc w:val="center"/>
              <w:rPr>
                <w:szCs w:val="24"/>
              </w:rPr>
            </w:pPr>
            <w:r w:rsidRPr="003E3A4F">
              <w:rPr>
                <w:szCs w:val="24"/>
              </w:rPr>
              <w:t>30</w:t>
            </w:r>
          </w:p>
        </w:tc>
      </w:tr>
      <w:tr w:rsidR="00EF3CC3" w:rsidRPr="003E3A4F" w14:paraId="647AE80D" w14:textId="77777777" w:rsidTr="009E7EE6">
        <w:tc>
          <w:tcPr>
            <w:tcW w:w="711" w:type="dxa"/>
          </w:tcPr>
          <w:p w14:paraId="184332DC" w14:textId="77777777" w:rsidR="00EF3CC3" w:rsidRPr="003E3A4F" w:rsidRDefault="00EF3CC3" w:rsidP="009E7EE6">
            <w:pPr>
              <w:jc w:val="both"/>
              <w:rPr>
                <w:szCs w:val="24"/>
              </w:rPr>
            </w:pPr>
            <w:r w:rsidRPr="003E3A4F">
              <w:rPr>
                <w:szCs w:val="24"/>
              </w:rPr>
              <w:t>103</w:t>
            </w:r>
          </w:p>
        </w:tc>
        <w:tc>
          <w:tcPr>
            <w:tcW w:w="7364" w:type="dxa"/>
          </w:tcPr>
          <w:p w14:paraId="6502E488" w14:textId="77777777" w:rsidR="00EF3CC3" w:rsidRDefault="00EF3CC3" w:rsidP="009E7EE6">
            <w:pPr>
              <w:jc w:val="both"/>
              <w:rPr>
                <w:szCs w:val="24"/>
              </w:rPr>
            </w:pPr>
            <w:r w:rsidRPr="003E3A4F">
              <w:rPr>
                <w:szCs w:val="24"/>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p w14:paraId="3B062FF9" w14:textId="77777777" w:rsidR="00EF3CC3" w:rsidRPr="003E3A4F" w:rsidRDefault="00EF3CC3" w:rsidP="009E7EE6">
            <w:pPr>
              <w:jc w:val="both"/>
              <w:rPr>
                <w:szCs w:val="24"/>
              </w:rPr>
            </w:pPr>
          </w:p>
        </w:tc>
        <w:tc>
          <w:tcPr>
            <w:tcW w:w="1571" w:type="dxa"/>
          </w:tcPr>
          <w:p w14:paraId="776B2517" w14:textId="77777777" w:rsidR="00EF3CC3" w:rsidRPr="003E3A4F" w:rsidRDefault="00EF3CC3" w:rsidP="009E7EE6">
            <w:pPr>
              <w:jc w:val="center"/>
              <w:rPr>
                <w:szCs w:val="24"/>
              </w:rPr>
            </w:pPr>
            <w:r w:rsidRPr="003E3A4F">
              <w:rPr>
                <w:szCs w:val="24"/>
              </w:rPr>
              <w:t>30</w:t>
            </w:r>
          </w:p>
        </w:tc>
      </w:tr>
      <w:tr w:rsidR="00EF3CC3" w:rsidRPr="003E3A4F" w14:paraId="1B082A26" w14:textId="77777777" w:rsidTr="009E7EE6">
        <w:tc>
          <w:tcPr>
            <w:tcW w:w="711" w:type="dxa"/>
          </w:tcPr>
          <w:p w14:paraId="5A252EEF" w14:textId="77777777" w:rsidR="00EF3CC3" w:rsidRPr="003E3A4F" w:rsidRDefault="00EF3CC3" w:rsidP="009E7EE6">
            <w:pPr>
              <w:jc w:val="both"/>
              <w:rPr>
                <w:szCs w:val="24"/>
              </w:rPr>
            </w:pPr>
            <w:r w:rsidRPr="003E3A4F">
              <w:rPr>
                <w:szCs w:val="24"/>
              </w:rPr>
              <w:t>104</w:t>
            </w:r>
          </w:p>
        </w:tc>
        <w:tc>
          <w:tcPr>
            <w:tcW w:w="7364" w:type="dxa"/>
          </w:tcPr>
          <w:p w14:paraId="5F867C76" w14:textId="77777777" w:rsidR="00EF3CC3" w:rsidRDefault="00EF3CC3" w:rsidP="009E7EE6">
            <w:pPr>
              <w:jc w:val="both"/>
              <w:rPr>
                <w:szCs w:val="24"/>
              </w:rPr>
            </w:pPr>
            <w:r w:rsidRPr="003E3A4F">
              <w:rPr>
                <w:szCs w:val="24"/>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p w14:paraId="45619B73" w14:textId="77777777" w:rsidR="00EF3CC3" w:rsidRPr="003E3A4F" w:rsidRDefault="00EF3CC3" w:rsidP="009E7EE6">
            <w:pPr>
              <w:jc w:val="both"/>
              <w:rPr>
                <w:szCs w:val="24"/>
              </w:rPr>
            </w:pPr>
          </w:p>
        </w:tc>
        <w:tc>
          <w:tcPr>
            <w:tcW w:w="1571" w:type="dxa"/>
          </w:tcPr>
          <w:p w14:paraId="4C9569C9" w14:textId="77777777" w:rsidR="00EF3CC3" w:rsidRPr="003E3A4F" w:rsidRDefault="00EF3CC3" w:rsidP="009E7EE6">
            <w:pPr>
              <w:jc w:val="center"/>
              <w:rPr>
                <w:szCs w:val="24"/>
              </w:rPr>
            </w:pPr>
            <w:r w:rsidRPr="003E3A4F">
              <w:rPr>
                <w:szCs w:val="24"/>
              </w:rPr>
              <w:t>30</w:t>
            </w:r>
          </w:p>
        </w:tc>
      </w:tr>
      <w:tr w:rsidR="00EF3CC3" w:rsidRPr="003E3A4F" w14:paraId="7E822BD2" w14:textId="77777777" w:rsidTr="009E7EE6">
        <w:tc>
          <w:tcPr>
            <w:tcW w:w="711" w:type="dxa"/>
          </w:tcPr>
          <w:p w14:paraId="2345BD63" w14:textId="77777777" w:rsidR="00EF3CC3" w:rsidRPr="003E3A4F" w:rsidRDefault="00EF3CC3" w:rsidP="009E7EE6">
            <w:pPr>
              <w:jc w:val="both"/>
              <w:rPr>
                <w:szCs w:val="24"/>
              </w:rPr>
            </w:pPr>
            <w:r w:rsidRPr="003E3A4F">
              <w:rPr>
                <w:szCs w:val="24"/>
              </w:rPr>
              <w:t>105</w:t>
            </w:r>
          </w:p>
        </w:tc>
        <w:tc>
          <w:tcPr>
            <w:tcW w:w="7364" w:type="dxa"/>
          </w:tcPr>
          <w:p w14:paraId="457F40AD" w14:textId="77777777" w:rsidR="00EF3CC3" w:rsidRPr="003E3A4F" w:rsidRDefault="00EF3CC3" w:rsidP="009E7EE6">
            <w:pPr>
              <w:jc w:val="both"/>
              <w:rPr>
                <w:szCs w:val="24"/>
              </w:rPr>
            </w:pPr>
            <w:r w:rsidRPr="003E3A4F">
              <w:rPr>
                <w:szCs w:val="24"/>
              </w:rPr>
              <w:t>tėvai (įtėviai) auginantys neįgalų vaiką (įvaikį) iki 18 metų arba vyresnį neįgalų vaiką (įvaikį), kuriam nustatytas specialusis nuolatinės slaugos poreikis</w:t>
            </w:r>
          </w:p>
        </w:tc>
        <w:tc>
          <w:tcPr>
            <w:tcW w:w="1571" w:type="dxa"/>
          </w:tcPr>
          <w:p w14:paraId="3DE11227" w14:textId="77777777" w:rsidR="00EF3CC3" w:rsidRPr="003E3A4F" w:rsidRDefault="00EF3CC3" w:rsidP="009E7EE6">
            <w:pPr>
              <w:jc w:val="center"/>
              <w:rPr>
                <w:szCs w:val="24"/>
              </w:rPr>
            </w:pPr>
            <w:r>
              <w:rPr>
                <w:szCs w:val="24"/>
              </w:rPr>
              <w:t>9</w:t>
            </w:r>
            <w:r w:rsidRPr="003E3A4F">
              <w:rPr>
                <w:szCs w:val="24"/>
              </w:rPr>
              <w:t>0</w:t>
            </w:r>
          </w:p>
        </w:tc>
      </w:tr>
      <w:tr w:rsidR="00EF3CC3" w:rsidRPr="003E3A4F" w14:paraId="44E33669" w14:textId="77777777" w:rsidTr="009E7EE6">
        <w:tc>
          <w:tcPr>
            <w:tcW w:w="711" w:type="dxa"/>
          </w:tcPr>
          <w:p w14:paraId="62D80655" w14:textId="77777777" w:rsidR="00EF3CC3" w:rsidRPr="003E3A4F" w:rsidRDefault="00EF3CC3" w:rsidP="009E7EE6">
            <w:pPr>
              <w:jc w:val="both"/>
              <w:rPr>
                <w:szCs w:val="24"/>
              </w:rPr>
            </w:pPr>
            <w:r w:rsidRPr="003E3A4F">
              <w:rPr>
                <w:szCs w:val="24"/>
              </w:rPr>
              <w:t>106</w:t>
            </w:r>
          </w:p>
        </w:tc>
        <w:tc>
          <w:tcPr>
            <w:tcW w:w="7364" w:type="dxa"/>
          </w:tcPr>
          <w:p w14:paraId="1477CC37" w14:textId="77777777" w:rsidR="00EF3CC3" w:rsidRPr="003E3A4F" w:rsidRDefault="00EF3CC3" w:rsidP="009E7EE6">
            <w:pPr>
              <w:jc w:val="both"/>
              <w:rPr>
                <w:szCs w:val="24"/>
              </w:rPr>
            </w:pPr>
            <w:r w:rsidRPr="003E3A4F">
              <w:rPr>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571" w:type="dxa"/>
          </w:tcPr>
          <w:p w14:paraId="52E20B95" w14:textId="77777777" w:rsidR="00EF3CC3" w:rsidRPr="003E3A4F" w:rsidRDefault="00EF3CC3" w:rsidP="009E7EE6">
            <w:pPr>
              <w:jc w:val="center"/>
              <w:rPr>
                <w:szCs w:val="24"/>
              </w:rPr>
            </w:pPr>
            <w:r w:rsidRPr="003E3A4F">
              <w:rPr>
                <w:szCs w:val="24"/>
              </w:rPr>
              <w:t>40</w:t>
            </w:r>
          </w:p>
        </w:tc>
      </w:tr>
      <w:tr w:rsidR="00EF3CC3" w:rsidRPr="003E3A4F" w14:paraId="2397A4E3" w14:textId="77777777" w:rsidTr="009E7EE6">
        <w:tc>
          <w:tcPr>
            <w:tcW w:w="711" w:type="dxa"/>
          </w:tcPr>
          <w:p w14:paraId="5BAB2778" w14:textId="77777777" w:rsidR="00EF3CC3" w:rsidRPr="003E3A4F" w:rsidRDefault="00EF3CC3" w:rsidP="009E7EE6">
            <w:pPr>
              <w:jc w:val="both"/>
              <w:rPr>
                <w:szCs w:val="24"/>
              </w:rPr>
            </w:pPr>
            <w:r w:rsidRPr="003E3A4F">
              <w:rPr>
                <w:szCs w:val="24"/>
              </w:rPr>
              <w:t>107</w:t>
            </w:r>
          </w:p>
        </w:tc>
        <w:tc>
          <w:tcPr>
            <w:tcW w:w="7364" w:type="dxa"/>
          </w:tcPr>
          <w:p w14:paraId="501611D1" w14:textId="77777777" w:rsidR="00EF3CC3" w:rsidRDefault="00EF3CC3" w:rsidP="009E7EE6">
            <w:pPr>
              <w:jc w:val="both"/>
              <w:rPr>
                <w:szCs w:val="24"/>
              </w:rPr>
            </w:pPr>
            <w:r w:rsidRPr="003E3A4F">
              <w:rPr>
                <w:szCs w:val="24"/>
              </w:rPr>
              <w:t>asmenys, turintys tradicinio amatininko statusą, kai įsigyja verslo liudijimą savo tradiciniam amatui</w:t>
            </w:r>
          </w:p>
          <w:p w14:paraId="79B655FD" w14:textId="77777777" w:rsidR="00EF3CC3" w:rsidRPr="003E3A4F" w:rsidRDefault="00EF3CC3" w:rsidP="009E7EE6">
            <w:pPr>
              <w:jc w:val="both"/>
              <w:rPr>
                <w:szCs w:val="24"/>
              </w:rPr>
            </w:pPr>
          </w:p>
        </w:tc>
        <w:tc>
          <w:tcPr>
            <w:tcW w:w="1571" w:type="dxa"/>
          </w:tcPr>
          <w:p w14:paraId="630DCDA9" w14:textId="77777777" w:rsidR="00EF3CC3" w:rsidRPr="003E3A4F" w:rsidRDefault="00EF3CC3" w:rsidP="009E7EE6">
            <w:pPr>
              <w:jc w:val="center"/>
              <w:rPr>
                <w:szCs w:val="24"/>
              </w:rPr>
            </w:pPr>
            <w:r w:rsidRPr="003E3A4F">
              <w:rPr>
                <w:szCs w:val="24"/>
              </w:rPr>
              <w:t>30</w:t>
            </w:r>
          </w:p>
        </w:tc>
      </w:tr>
      <w:tr w:rsidR="00EF3CC3" w:rsidRPr="003E3A4F" w14:paraId="4136050A" w14:textId="77777777" w:rsidTr="009E7EE6">
        <w:tc>
          <w:tcPr>
            <w:tcW w:w="711" w:type="dxa"/>
          </w:tcPr>
          <w:p w14:paraId="0B9D5FCD" w14:textId="77777777" w:rsidR="00EF3CC3" w:rsidRPr="003E3A4F" w:rsidRDefault="00EF3CC3" w:rsidP="009E7EE6">
            <w:pPr>
              <w:jc w:val="both"/>
              <w:rPr>
                <w:szCs w:val="24"/>
              </w:rPr>
            </w:pPr>
            <w:r w:rsidRPr="003E3A4F">
              <w:rPr>
                <w:szCs w:val="24"/>
              </w:rPr>
              <w:t>108</w:t>
            </w:r>
          </w:p>
        </w:tc>
        <w:tc>
          <w:tcPr>
            <w:tcW w:w="7364" w:type="dxa"/>
          </w:tcPr>
          <w:p w14:paraId="2F70EBF4" w14:textId="77777777" w:rsidR="00EF3CC3" w:rsidRPr="003E3A4F" w:rsidRDefault="00EF3CC3" w:rsidP="009E7EE6">
            <w:pPr>
              <w:jc w:val="both"/>
              <w:rPr>
                <w:szCs w:val="24"/>
              </w:rPr>
            </w:pPr>
            <w:r w:rsidRPr="003E3A4F">
              <w:rPr>
                <w:szCs w:val="24"/>
              </w:rPr>
              <w:t>dirbantys (tarnaujantys) asmenys, (įskaitant individualių įmonių savininkus, ūkinių bendrijų tikruosius narius, mažųjų bendrijų narius, gaunan</w:t>
            </w:r>
            <w:r>
              <w:rPr>
                <w:szCs w:val="24"/>
              </w:rPr>
              <w:t>čius</w:t>
            </w:r>
            <w:r w:rsidRPr="003E3A4F">
              <w:rPr>
                <w:szCs w:val="24"/>
              </w:rPr>
              <w:t xml:space="preserve"> su darbo santykiais ar jų esmę atitinkančiais santykiais susijusių pajamų)</w:t>
            </w:r>
          </w:p>
        </w:tc>
        <w:tc>
          <w:tcPr>
            <w:tcW w:w="1571" w:type="dxa"/>
          </w:tcPr>
          <w:p w14:paraId="1A18B720" w14:textId="77777777" w:rsidR="00EF3CC3" w:rsidRPr="003E3A4F" w:rsidRDefault="00EF3CC3" w:rsidP="009E7EE6">
            <w:pPr>
              <w:jc w:val="center"/>
              <w:rPr>
                <w:szCs w:val="24"/>
              </w:rPr>
            </w:pPr>
            <w:r w:rsidRPr="003E3A4F">
              <w:rPr>
                <w:szCs w:val="24"/>
              </w:rPr>
              <w:t>0</w:t>
            </w:r>
          </w:p>
        </w:tc>
      </w:tr>
      <w:tr w:rsidR="00EF3CC3" w:rsidRPr="003E3A4F" w14:paraId="617C564F" w14:textId="77777777" w:rsidTr="009E7EE6">
        <w:tc>
          <w:tcPr>
            <w:tcW w:w="711" w:type="dxa"/>
          </w:tcPr>
          <w:p w14:paraId="506C363C" w14:textId="77777777" w:rsidR="00EF3CC3" w:rsidRPr="003E3A4F" w:rsidRDefault="00EF3CC3" w:rsidP="009E7EE6">
            <w:pPr>
              <w:jc w:val="both"/>
              <w:rPr>
                <w:szCs w:val="24"/>
              </w:rPr>
            </w:pPr>
            <w:r w:rsidRPr="003E3A4F">
              <w:rPr>
                <w:szCs w:val="24"/>
              </w:rPr>
              <w:t>109</w:t>
            </w:r>
          </w:p>
        </w:tc>
        <w:tc>
          <w:tcPr>
            <w:tcW w:w="7364" w:type="dxa"/>
          </w:tcPr>
          <w:p w14:paraId="62698153" w14:textId="77777777" w:rsidR="00EF3CC3" w:rsidRPr="003E3A4F" w:rsidRDefault="00EF3CC3" w:rsidP="009E7EE6">
            <w:pPr>
              <w:jc w:val="both"/>
              <w:rPr>
                <w:szCs w:val="24"/>
              </w:rPr>
            </w:pPr>
            <w:r w:rsidRPr="003E3A4F">
              <w:rPr>
                <w:szCs w:val="24"/>
              </w:rPr>
              <w:t>neįgalūs asmenys, kuriems nustatytas:</w:t>
            </w:r>
          </w:p>
          <w:p w14:paraId="04932BB7" w14:textId="77777777" w:rsidR="00EF3CC3" w:rsidRPr="003E3A4F" w:rsidRDefault="00EF3CC3" w:rsidP="009E7EE6">
            <w:pPr>
              <w:jc w:val="both"/>
              <w:rPr>
                <w:szCs w:val="24"/>
              </w:rPr>
            </w:pPr>
            <w:r w:rsidRPr="003E3A4F">
              <w:rPr>
                <w:szCs w:val="24"/>
              </w:rPr>
              <w:t>- 0–25 procentų darbingumo lygis (nedarbingas asmuo);</w:t>
            </w:r>
          </w:p>
          <w:p w14:paraId="1D00C7CD" w14:textId="77777777" w:rsidR="00EF3CC3" w:rsidRPr="003E3A4F" w:rsidRDefault="00EF3CC3" w:rsidP="009E7EE6">
            <w:pPr>
              <w:jc w:val="both"/>
              <w:rPr>
                <w:szCs w:val="24"/>
              </w:rPr>
            </w:pPr>
            <w:r w:rsidRPr="003E3A4F">
              <w:rPr>
                <w:szCs w:val="24"/>
              </w:rPr>
              <w:t>- sunkus neįgalumo lygis;</w:t>
            </w:r>
          </w:p>
          <w:p w14:paraId="41FDBF6A" w14:textId="77777777" w:rsidR="00EF3CC3" w:rsidRPr="003E3A4F" w:rsidRDefault="00EF3CC3" w:rsidP="009E7EE6">
            <w:pPr>
              <w:jc w:val="both"/>
              <w:rPr>
                <w:szCs w:val="24"/>
              </w:rPr>
            </w:pPr>
            <w:r w:rsidRPr="003E3A4F">
              <w:rPr>
                <w:szCs w:val="24"/>
              </w:rPr>
              <w:t>- didelių specialiųjų poreikių lygis (kai šis asmuo yra sulaukęs senatvės pensijos amžiaus).</w:t>
            </w:r>
          </w:p>
        </w:tc>
        <w:tc>
          <w:tcPr>
            <w:tcW w:w="1571" w:type="dxa"/>
          </w:tcPr>
          <w:p w14:paraId="3EA52B56" w14:textId="77777777" w:rsidR="00EF3CC3" w:rsidRPr="003E3A4F" w:rsidRDefault="00EF3CC3" w:rsidP="009E7EE6">
            <w:pPr>
              <w:jc w:val="center"/>
              <w:rPr>
                <w:szCs w:val="24"/>
              </w:rPr>
            </w:pPr>
            <w:r w:rsidRPr="003E3A4F">
              <w:rPr>
                <w:szCs w:val="24"/>
              </w:rPr>
              <w:t>50</w:t>
            </w:r>
          </w:p>
        </w:tc>
      </w:tr>
      <w:tr w:rsidR="00EF3CC3" w:rsidRPr="003E3A4F" w14:paraId="46A7276E" w14:textId="77777777" w:rsidTr="009E7EE6">
        <w:trPr>
          <w:trHeight w:val="489"/>
        </w:trPr>
        <w:tc>
          <w:tcPr>
            <w:tcW w:w="711" w:type="dxa"/>
            <w:vAlign w:val="center"/>
          </w:tcPr>
          <w:p w14:paraId="7A080D41" w14:textId="77777777" w:rsidR="00EF3CC3" w:rsidRPr="003E3A4F" w:rsidRDefault="00EF3CC3" w:rsidP="009E7EE6">
            <w:pPr>
              <w:jc w:val="center"/>
              <w:rPr>
                <w:b/>
                <w:szCs w:val="24"/>
              </w:rPr>
            </w:pPr>
            <w:r w:rsidRPr="003E3A4F">
              <w:rPr>
                <w:b/>
                <w:szCs w:val="24"/>
              </w:rPr>
              <w:lastRenderedPageBreak/>
              <w:t>Kodas</w:t>
            </w:r>
          </w:p>
        </w:tc>
        <w:tc>
          <w:tcPr>
            <w:tcW w:w="7364" w:type="dxa"/>
            <w:vAlign w:val="center"/>
          </w:tcPr>
          <w:p w14:paraId="21F180C9" w14:textId="77777777" w:rsidR="00EF3CC3" w:rsidRPr="003E3A4F" w:rsidRDefault="00EF3CC3" w:rsidP="009E7EE6">
            <w:pPr>
              <w:jc w:val="center"/>
              <w:rPr>
                <w:b/>
                <w:szCs w:val="24"/>
              </w:rPr>
            </w:pPr>
            <w:r w:rsidRPr="003E3A4F">
              <w:rPr>
                <w:b/>
                <w:szCs w:val="24"/>
              </w:rPr>
              <w:t>Verslo liudijimus įsigyjantys asmenys, kuriems taikomos lengvatos</w:t>
            </w:r>
          </w:p>
        </w:tc>
        <w:tc>
          <w:tcPr>
            <w:tcW w:w="1571" w:type="dxa"/>
            <w:shd w:val="clear" w:color="auto" w:fill="auto"/>
            <w:vAlign w:val="center"/>
          </w:tcPr>
          <w:p w14:paraId="48E65066" w14:textId="77777777" w:rsidR="00EF3CC3" w:rsidRPr="003E3A4F" w:rsidRDefault="00EF3CC3" w:rsidP="009E7EE6">
            <w:pPr>
              <w:jc w:val="center"/>
              <w:rPr>
                <w:b/>
                <w:szCs w:val="24"/>
              </w:rPr>
            </w:pPr>
            <w:r w:rsidRPr="003E3A4F">
              <w:rPr>
                <w:b/>
                <w:szCs w:val="24"/>
              </w:rPr>
              <w:t>Lengvatos dydis (proc.)</w:t>
            </w:r>
          </w:p>
        </w:tc>
      </w:tr>
      <w:tr w:rsidR="00EF3CC3" w:rsidRPr="003E3A4F" w14:paraId="017DABF6" w14:textId="77777777" w:rsidTr="009E7EE6">
        <w:tc>
          <w:tcPr>
            <w:tcW w:w="711" w:type="dxa"/>
          </w:tcPr>
          <w:p w14:paraId="15A080A7" w14:textId="77777777" w:rsidR="00EF3CC3" w:rsidRPr="003E3A4F" w:rsidRDefault="00EF3CC3" w:rsidP="009E7EE6">
            <w:pPr>
              <w:jc w:val="both"/>
              <w:rPr>
                <w:szCs w:val="24"/>
              </w:rPr>
            </w:pPr>
            <w:r w:rsidRPr="003E3A4F">
              <w:rPr>
                <w:szCs w:val="24"/>
              </w:rPr>
              <w:t>110</w:t>
            </w:r>
          </w:p>
        </w:tc>
        <w:tc>
          <w:tcPr>
            <w:tcW w:w="7364" w:type="dxa"/>
          </w:tcPr>
          <w:p w14:paraId="49744A67" w14:textId="77777777" w:rsidR="00EF3CC3" w:rsidRPr="003E3A4F" w:rsidRDefault="00EF3CC3" w:rsidP="009E7EE6">
            <w:pPr>
              <w:jc w:val="both"/>
              <w:rPr>
                <w:szCs w:val="24"/>
              </w:rPr>
            </w:pPr>
            <w:r w:rsidRPr="003E3A4F">
              <w:rPr>
                <w:szCs w:val="24"/>
              </w:rPr>
              <w:t>neįgalūs asmenys, kuriems nustatytas:</w:t>
            </w:r>
          </w:p>
          <w:p w14:paraId="0D57330E" w14:textId="77777777" w:rsidR="00EF3CC3" w:rsidRPr="003E3A4F" w:rsidRDefault="00EF3CC3" w:rsidP="009E7EE6">
            <w:pPr>
              <w:jc w:val="both"/>
              <w:rPr>
                <w:szCs w:val="24"/>
              </w:rPr>
            </w:pPr>
            <w:r w:rsidRPr="003E3A4F">
              <w:rPr>
                <w:szCs w:val="24"/>
              </w:rPr>
              <w:t>- 30– 40 procentų darbingumo lygis (iš dalies darbingas asmuo);</w:t>
            </w:r>
          </w:p>
          <w:p w14:paraId="654E4732" w14:textId="77777777" w:rsidR="00EF3CC3" w:rsidRPr="003E3A4F" w:rsidRDefault="00EF3CC3" w:rsidP="009E7EE6">
            <w:pPr>
              <w:jc w:val="both"/>
              <w:rPr>
                <w:szCs w:val="24"/>
              </w:rPr>
            </w:pPr>
            <w:r w:rsidRPr="003E3A4F">
              <w:rPr>
                <w:szCs w:val="24"/>
              </w:rPr>
              <w:t>- vidutinis neįgalumo lygis;</w:t>
            </w:r>
          </w:p>
          <w:p w14:paraId="070E4254" w14:textId="77777777" w:rsidR="00EF3CC3" w:rsidRPr="003E3A4F" w:rsidRDefault="00EF3CC3" w:rsidP="009E7EE6">
            <w:pPr>
              <w:jc w:val="both"/>
              <w:rPr>
                <w:szCs w:val="24"/>
              </w:rPr>
            </w:pPr>
            <w:r w:rsidRPr="003E3A4F">
              <w:rPr>
                <w:szCs w:val="24"/>
              </w:rPr>
              <w:t>- vidutinių specialiųjų poreikių lygis (kai šis asmuo sulaukęs senatvės pensijos amžiaus).</w:t>
            </w:r>
          </w:p>
        </w:tc>
        <w:tc>
          <w:tcPr>
            <w:tcW w:w="1571" w:type="dxa"/>
          </w:tcPr>
          <w:p w14:paraId="491338FA" w14:textId="77777777" w:rsidR="00EF3CC3" w:rsidRPr="003E3A4F" w:rsidRDefault="00EF3CC3" w:rsidP="009E7EE6">
            <w:pPr>
              <w:jc w:val="center"/>
              <w:rPr>
                <w:szCs w:val="24"/>
              </w:rPr>
            </w:pPr>
            <w:r w:rsidRPr="003E3A4F">
              <w:rPr>
                <w:szCs w:val="24"/>
              </w:rPr>
              <w:t>40</w:t>
            </w:r>
          </w:p>
        </w:tc>
      </w:tr>
      <w:tr w:rsidR="00EF3CC3" w:rsidRPr="003E3A4F" w14:paraId="029D9A7F" w14:textId="77777777" w:rsidTr="009E7EE6">
        <w:tc>
          <w:tcPr>
            <w:tcW w:w="711" w:type="dxa"/>
          </w:tcPr>
          <w:p w14:paraId="4D3AA760" w14:textId="77777777" w:rsidR="00EF3CC3" w:rsidRPr="003E3A4F" w:rsidRDefault="00EF3CC3" w:rsidP="009E7EE6">
            <w:pPr>
              <w:jc w:val="both"/>
              <w:rPr>
                <w:szCs w:val="24"/>
              </w:rPr>
            </w:pPr>
            <w:r w:rsidRPr="003E3A4F">
              <w:rPr>
                <w:szCs w:val="24"/>
              </w:rPr>
              <w:t>111</w:t>
            </w:r>
          </w:p>
        </w:tc>
        <w:tc>
          <w:tcPr>
            <w:tcW w:w="7364" w:type="dxa"/>
          </w:tcPr>
          <w:p w14:paraId="5E33F1C1" w14:textId="77777777" w:rsidR="00EF3CC3" w:rsidRPr="003E3A4F" w:rsidRDefault="00EF3CC3" w:rsidP="009E7EE6">
            <w:pPr>
              <w:jc w:val="both"/>
              <w:rPr>
                <w:szCs w:val="24"/>
              </w:rPr>
            </w:pPr>
            <w:r w:rsidRPr="003E3A4F">
              <w:rPr>
                <w:szCs w:val="24"/>
              </w:rPr>
              <w:t>Neįgalūs asmenys, kuriems nustatytas:</w:t>
            </w:r>
          </w:p>
          <w:p w14:paraId="09CE634A" w14:textId="77777777" w:rsidR="00EF3CC3" w:rsidRPr="003E3A4F" w:rsidRDefault="00EF3CC3" w:rsidP="009E7EE6">
            <w:pPr>
              <w:jc w:val="both"/>
              <w:rPr>
                <w:szCs w:val="24"/>
              </w:rPr>
            </w:pPr>
            <w:r w:rsidRPr="003E3A4F">
              <w:rPr>
                <w:szCs w:val="24"/>
              </w:rPr>
              <w:t>- 45–55 procentų darbingumo lygis (iš dalies darbingas asmuo);</w:t>
            </w:r>
          </w:p>
          <w:p w14:paraId="4DC3D01E" w14:textId="77777777" w:rsidR="00EF3CC3" w:rsidRPr="003E3A4F" w:rsidRDefault="00EF3CC3" w:rsidP="009E7EE6">
            <w:pPr>
              <w:jc w:val="both"/>
              <w:rPr>
                <w:szCs w:val="24"/>
              </w:rPr>
            </w:pPr>
            <w:r w:rsidRPr="003E3A4F">
              <w:rPr>
                <w:szCs w:val="24"/>
              </w:rPr>
              <w:t>- lengvas neįgalumo lygis;</w:t>
            </w:r>
          </w:p>
          <w:p w14:paraId="6C13FE9D" w14:textId="77777777" w:rsidR="00EF3CC3" w:rsidRPr="003E3A4F" w:rsidRDefault="00EF3CC3" w:rsidP="009E7EE6">
            <w:pPr>
              <w:jc w:val="both"/>
              <w:rPr>
                <w:szCs w:val="24"/>
              </w:rPr>
            </w:pPr>
            <w:r w:rsidRPr="003E3A4F">
              <w:rPr>
                <w:szCs w:val="24"/>
              </w:rPr>
              <w:t>- nedidelių specialiųjų poreikių lygis (kai šis asmuo sulaukęs senatvės pensijos amžiaus).</w:t>
            </w:r>
          </w:p>
        </w:tc>
        <w:tc>
          <w:tcPr>
            <w:tcW w:w="1571" w:type="dxa"/>
          </w:tcPr>
          <w:p w14:paraId="561BC691" w14:textId="77777777" w:rsidR="00EF3CC3" w:rsidRPr="003E3A4F" w:rsidRDefault="00EF3CC3" w:rsidP="009E7EE6">
            <w:pPr>
              <w:jc w:val="center"/>
              <w:rPr>
                <w:szCs w:val="24"/>
              </w:rPr>
            </w:pPr>
            <w:r w:rsidRPr="003E3A4F">
              <w:rPr>
                <w:szCs w:val="24"/>
              </w:rPr>
              <w:t>3</w:t>
            </w:r>
            <w:r>
              <w:rPr>
                <w:szCs w:val="24"/>
              </w:rPr>
              <w:t>5</w:t>
            </w:r>
          </w:p>
        </w:tc>
      </w:tr>
    </w:tbl>
    <w:p w14:paraId="733CAA3D" w14:textId="77777777" w:rsidR="00EF3CC3" w:rsidRPr="003E3A4F" w:rsidRDefault="00EF3CC3" w:rsidP="00EF3CC3">
      <w:pPr>
        <w:ind w:firstLine="567"/>
        <w:jc w:val="both"/>
        <w:rPr>
          <w:szCs w:val="24"/>
        </w:rPr>
      </w:pPr>
      <w:r w:rsidRPr="003E3A4F">
        <w:rPr>
          <w:szCs w:val="24"/>
        </w:rPr>
        <w:t>2. Gyventojui, patenkančiam į kelias šiame sąraše nurodytų asmenų grupes, taikoma viena jo pasirinkta lengvata.</w:t>
      </w:r>
    </w:p>
    <w:p w14:paraId="795BD787" w14:textId="77777777" w:rsidR="00EF3CC3" w:rsidRPr="00983B19" w:rsidRDefault="00EF3CC3" w:rsidP="00EF3CC3">
      <w:pPr>
        <w:ind w:firstLine="567"/>
        <w:jc w:val="both"/>
        <w:rPr>
          <w:strike/>
          <w:color w:val="FF0000"/>
          <w:szCs w:val="24"/>
        </w:rPr>
      </w:pPr>
      <w:r w:rsidRPr="00983B19">
        <w:rPr>
          <w:strike/>
          <w:color w:val="FF0000"/>
          <w:szCs w:val="24"/>
        </w:rPr>
        <w:t>3. Lengvata netaikoma kai į verslo liudijimą įrašomas šeimos narys, išskyrus tuos atvejus kai įrašytas asmuo patenka į šiame sąraše nurodytų asmenų grupes.</w:t>
      </w:r>
    </w:p>
    <w:p w14:paraId="53684011" w14:textId="77777777" w:rsidR="00EF3CC3" w:rsidRPr="00983B19" w:rsidRDefault="00EF3CC3" w:rsidP="00EF3CC3">
      <w:pPr>
        <w:ind w:firstLine="567"/>
        <w:jc w:val="both"/>
        <w:rPr>
          <w:color w:val="FF0000"/>
          <w:szCs w:val="24"/>
        </w:rPr>
      </w:pPr>
    </w:p>
    <w:p w14:paraId="616EA6EA" w14:textId="77777777" w:rsidR="00EF3CC3" w:rsidRPr="003E3A4F" w:rsidRDefault="00EF3CC3" w:rsidP="00EF3CC3">
      <w:pPr>
        <w:ind w:firstLine="567"/>
        <w:jc w:val="center"/>
        <w:rPr>
          <w:szCs w:val="24"/>
        </w:rPr>
      </w:pPr>
      <w:r w:rsidRPr="003E3A4F">
        <w:rPr>
          <w:szCs w:val="24"/>
        </w:rPr>
        <w:t>__________________________</w:t>
      </w:r>
    </w:p>
    <w:p w14:paraId="6D063792" w14:textId="77777777" w:rsidR="00EF3CC3" w:rsidRPr="003E3A4F" w:rsidRDefault="00EF3CC3" w:rsidP="00EF3CC3">
      <w:pPr>
        <w:jc w:val="both"/>
        <w:rPr>
          <w:szCs w:val="24"/>
        </w:rPr>
      </w:pPr>
    </w:p>
    <w:p w14:paraId="228ED0B4" w14:textId="77777777" w:rsidR="00EF3CC3" w:rsidRDefault="00EF3CC3" w:rsidP="00EF3CC3"/>
    <w:p w14:paraId="16A9CD14" w14:textId="7A61CB0B" w:rsidR="00F320CA" w:rsidRDefault="00F320CA"/>
    <w:sectPr w:rsidR="00F320CA" w:rsidSect="00EF3CC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CA7F4" w14:textId="77777777" w:rsidR="00B14E4C" w:rsidRDefault="00B14E4C">
      <w:r>
        <w:separator/>
      </w:r>
    </w:p>
  </w:endnote>
  <w:endnote w:type="continuationSeparator" w:id="0">
    <w:p w14:paraId="0E9902C4" w14:textId="77777777" w:rsidR="00B14E4C" w:rsidRDefault="00B1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CA9F" w14:textId="77777777" w:rsidR="00B14E4C" w:rsidRDefault="00B14E4C">
      <w:r>
        <w:separator/>
      </w:r>
    </w:p>
  </w:footnote>
  <w:footnote w:type="continuationSeparator" w:id="0">
    <w:p w14:paraId="7217494D" w14:textId="77777777" w:rsidR="00B14E4C" w:rsidRDefault="00B1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894A" w14:textId="77777777" w:rsidR="00FC1CD3" w:rsidRDefault="0027755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5FA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154D7" w14:textId="77777777" w:rsidR="00FC1CD3" w:rsidRDefault="00FC1CD3">
    <w:pPr>
      <w:pStyle w:val="Antrats"/>
      <w:framePr w:wrap="around" w:vAnchor="text" w:hAnchor="margin" w:xAlign="center" w:y="1"/>
      <w:rPr>
        <w:rStyle w:val="Puslapionumeris"/>
      </w:rPr>
    </w:pPr>
  </w:p>
  <w:p w14:paraId="0E20826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5EA1"/>
    <w:multiLevelType w:val="hybridMultilevel"/>
    <w:tmpl w:val="7CA8A61E"/>
    <w:lvl w:ilvl="0" w:tplc="2F760A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3A0960"/>
    <w:multiLevelType w:val="hybridMultilevel"/>
    <w:tmpl w:val="85B4CB80"/>
    <w:lvl w:ilvl="0" w:tplc="6BECC93C">
      <w:start w:val="4"/>
      <w:numFmt w:val="decimal"/>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 w15:restartNumberingAfterBreak="0">
    <w:nsid w:val="7F606A12"/>
    <w:multiLevelType w:val="hybridMultilevel"/>
    <w:tmpl w:val="4E06BC50"/>
    <w:lvl w:ilvl="0" w:tplc="E2F6A520">
      <w:start w:val="4"/>
      <w:numFmt w:val="decimal"/>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1"/>
  </w:num>
  <w:num w:numId="5">
    <w:abstractNumId w:val="9"/>
  </w:num>
  <w:num w:numId="6">
    <w:abstractNumId w:val="8"/>
  </w:num>
  <w:num w:numId="7">
    <w:abstractNumId w:val="0"/>
  </w:num>
  <w:num w:numId="8">
    <w:abstractNumId w:val="10"/>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226341"/>
    <w:rsid w:val="00251454"/>
    <w:rsid w:val="00277550"/>
    <w:rsid w:val="00281984"/>
    <w:rsid w:val="0029115F"/>
    <w:rsid w:val="002A6329"/>
    <w:rsid w:val="002E1F99"/>
    <w:rsid w:val="002F084E"/>
    <w:rsid w:val="002F1BCC"/>
    <w:rsid w:val="00315599"/>
    <w:rsid w:val="003156A6"/>
    <w:rsid w:val="00317D02"/>
    <w:rsid w:val="00331DEC"/>
    <w:rsid w:val="00346E67"/>
    <w:rsid w:val="00363C01"/>
    <w:rsid w:val="0037061D"/>
    <w:rsid w:val="00372033"/>
    <w:rsid w:val="003723C7"/>
    <w:rsid w:val="0037258B"/>
    <w:rsid w:val="00394FD0"/>
    <w:rsid w:val="003A6384"/>
    <w:rsid w:val="003B2523"/>
    <w:rsid w:val="003C0D2B"/>
    <w:rsid w:val="003D36E7"/>
    <w:rsid w:val="003E72FB"/>
    <w:rsid w:val="003F40BA"/>
    <w:rsid w:val="003F43DA"/>
    <w:rsid w:val="0040117E"/>
    <w:rsid w:val="00420766"/>
    <w:rsid w:val="00433D3F"/>
    <w:rsid w:val="004736D3"/>
    <w:rsid w:val="00477C70"/>
    <w:rsid w:val="00494CCC"/>
    <w:rsid w:val="004B2369"/>
    <w:rsid w:val="004C19E1"/>
    <w:rsid w:val="004D219E"/>
    <w:rsid w:val="004D5726"/>
    <w:rsid w:val="004E7E03"/>
    <w:rsid w:val="00501A06"/>
    <w:rsid w:val="00501C69"/>
    <w:rsid w:val="00502438"/>
    <w:rsid w:val="005049D0"/>
    <w:rsid w:val="0053677B"/>
    <w:rsid w:val="0053777E"/>
    <w:rsid w:val="00542B92"/>
    <w:rsid w:val="005537CF"/>
    <w:rsid w:val="00554E7E"/>
    <w:rsid w:val="005560FA"/>
    <w:rsid w:val="00583085"/>
    <w:rsid w:val="005902FC"/>
    <w:rsid w:val="005A679F"/>
    <w:rsid w:val="005A7489"/>
    <w:rsid w:val="005B2122"/>
    <w:rsid w:val="005B5054"/>
    <w:rsid w:val="005B677E"/>
    <w:rsid w:val="0060121E"/>
    <w:rsid w:val="006042B0"/>
    <w:rsid w:val="006046BD"/>
    <w:rsid w:val="0061124E"/>
    <w:rsid w:val="00611759"/>
    <w:rsid w:val="0063466E"/>
    <w:rsid w:val="006353B7"/>
    <w:rsid w:val="00641E12"/>
    <w:rsid w:val="0065250B"/>
    <w:rsid w:val="006537C6"/>
    <w:rsid w:val="00694AE6"/>
    <w:rsid w:val="006A29E6"/>
    <w:rsid w:val="006A5260"/>
    <w:rsid w:val="006B194D"/>
    <w:rsid w:val="006F73C6"/>
    <w:rsid w:val="006F79BB"/>
    <w:rsid w:val="00707910"/>
    <w:rsid w:val="0071733F"/>
    <w:rsid w:val="00727BC2"/>
    <w:rsid w:val="00733F0E"/>
    <w:rsid w:val="00734333"/>
    <w:rsid w:val="00740725"/>
    <w:rsid w:val="00771408"/>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370F7"/>
    <w:rsid w:val="00962068"/>
    <w:rsid w:val="00983B19"/>
    <w:rsid w:val="00992B19"/>
    <w:rsid w:val="009A22DA"/>
    <w:rsid w:val="009B1E06"/>
    <w:rsid w:val="009B4E7B"/>
    <w:rsid w:val="009B7CA4"/>
    <w:rsid w:val="009C146A"/>
    <w:rsid w:val="009E78A8"/>
    <w:rsid w:val="009F1621"/>
    <w:rsid w:val="00A07C5C"/>
    <w:rsid w:val="00A10B04"/>
    <w:rsid w:val="00A151E4"/>
    <w:rsid w:val="00A15894"/>
    <w:rsid w:val="00A35132"/>
    <w:rsid w:val="00A417BC"/>
    <w:rsid w:val="00A44FD0"/>
    <w:rsid w:val="00A519AD"/>
    <w:rsid w:val="00A531C7"/>
    <w:rsid w:val="00A62A13"/>
    <w:rsid w:val="00A64F5E"/>
    <w:rsid w:val="00A717C6"/>
    <w:rsid w:val="00A749F9"/>
    <w:rsid w:val="00A80681"/>
    <w:rsid w:val="00A85052"/>
    <w:rsid w:val="00A87403"/>
    <w:rsid w:val="00A91AD8"/>
    <w:rsid w:val="00AB13EB"/>
    <w:rsid w:val="00AC0F3F"/>
    <w:rsid w:val="00AC19FF"/>
    <w:rsid w:val="00AC51B4"/>
    <w:rsid w:val="00AC5D4C"/>
    <w:rsid w:val="00AD7C4E"/>
    <w:rsid w:val="00AE27EB"/>
    <w:rsid w:val="00B05C03"/>
    <w:rsid w:val="00B14102"/>
    <w:rsid w:val="00B14E4C"/>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BF6E5F"/>
    <w:rsid w:val="00C0081B"/>
    <w:rsid w:val="00C02331"/>
    <w:rsid w:val="00C1390A"/>
    <w:rsid w:val="00C1630A"/>
    <w:rsid w:val="00C40C87"/>
    <w:rsid w:val="00C43EC0"/>
    <w:rsid w:val="00C55384"/>
    <w:rsid w:val="00C73F5B"/>
    <w:rsid w:val="00C83B36"/>
    <w:rsid w:val="00C8715A"/>
    <w:rsid w:val="00CA58F1"/>
    <w:rsid w:val="00CD62B1"/>
    <w:rsid w:val="00D06133"/>
    <w:rsid w:val="00D1406C"/>
    <w:rsid w:val="00D27D0C"/>
    <w:rsid w:val="00D34E4F"/>
    <w:rsid w:val="00D367C9"/>
    <w:rsid w:val="00D513AA"/>
    <w:rsid w:val="00D82C9A"/>
    <w:rsid w:val="00D927A8"/>
    <w:rsid w:val="00D97375"/>
    <w:rsid w:val="00DC3222"/>
    <w:rsid w:val="00DF359F"/>
    <w:rsid w:val="00DF4642"/>
    <w:rsid w:val="00E22D46"/>
    <w:rsid w:val="00E24274"/>
    <w:rsid w:val="00E405C8"/>
    <w:rsid w:val="00E53280"/>
    <w:rsid w:val="00E63C87"/>
    <w:rsid w:val="00E727C5"/>
    <w:rsid w:val="00E81CB8"/>
    <w:rsid w:val="00E869DA"/>
    <w:rsid w:val="00E87E76"/>
    <w:rsid w:val="00E93D29"/>
    <w:rsid w:val="00EA5193"/>
    <w:rsid w:val="00EB2FE5"/>
    <w:rsid w:val="00EB3585"/>
    <w:rsid w:val="00EC77B8"/>
    <w:rsid w:val="00EF04BB"/>
    <w:rsid w:val="00EF3CC3"/>
    <w:rsid w:val="00F06585"/>
    <w:rsid w:val="00F14674"/>
    <w:rsid w:val="00F20019"/>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783F5"/>
  <w15:docId w15:val="{82C3A8E8-1ABE-492E-A3F2-F9A089BA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link w:val="Antrat3Diagrama"/>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link w:val="Pagrindiniotekstotrauka2Diagrama"/>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Antrat3Diagrama">
    <w:name w:val="Antraštė 3 Diagrama"/>
    <w:link w:val="Antrat3"/>
    <w:rsid w:val="00EF3CC3"/>
    <w:rPr>
      <w:b/>
      <w:sz w:val="24"/>
      <w:szCs w:val="28"/>
    </w:rPr>
  </w:style>
  <w:style w:type="character" w:customStyle="1" w:styleId="PoratDiagrama">
    <w:name w:val="Poraštė Diagrama"/>
    <w:link w:val="Porat"/>
    <w:rsid w:val="00EF3CC3"/>
    <w:rPr>
      <w:sz w:val="24"/>
    </w:rPr>
  </w:style>
  <w:style w:type="character" w:customStyle="1" w:styleId="PagrindiniotekstotraukaDiagrama">
    <w:name w:val="Pagrindinio teksto įtrauka Diagrama"/>
    <w:link w:val="Pagrindiniotekstotrauka"/>
    <w:rsid w:val="00EF3CC3"/>
    <w:rPr>
      <w:sz w:val="24"/>
    </w:rPr>
  </w:style>
  <w:style w:type="character" w:customStyle="1" w:styleId="PagrindinistekstasDiagrama">
    <w:name w:val="Pagrindinis tekstas Diagrama"/>
    <w:link w:val="Pagrindinistekstas"/>
    <w:rsid w:val="00EF3CC3"/>
    <w:rPr>
      <w:sz w:val="24"/>
    </w:rPr>
  </w:style>
  <w:style w:type="character" w:customStyle="1" w:styleId="Pagrindiniotekstotrauka2Diagrama">
    <w:name w:val="Pagrindinio teksto įtrauka 2 Diagrama"/>
    <w:link w:val="Pagrindiniotekstotrauka2"/>
    <w:rsid w:val="00EF3CC3"/>
    <w:rPr>
      <w:sz w:val="24"/>
      <w:szCs w:val="24"/>
    </w:rPr>
  </w:style>
  <w:style w:type="character" w:customStyle="1" w:styleId="Pagrindinistekstas2Diagrama">
    <w:name w:val="Pagrindinis tekstas 2 Diagrama"/>
    <w:link w:val="Pagrindinistekstas2"/>
    <w:rsid w:val="00EF3CC3"/>
    <w:rPr>
      <w:sz w:val="22"/>
    </w:rPr>
  </w:style>
  <w:style w:type="character" w:customStyle="1" w:styleId="DiagramaDiagrama11">
    <w:name w:val="Diagrama Diagrama11"/>
    <w:rsid w:val="00EF3CC3"/>
    <w:rPr>
      <w:b/>
      <w:sz w:val="24"/>
      <w:lang w:val="en-US" w:eastAsia="en-US"/>
    </w:rPr>
  </w:style>
  <w:style w:type="character" w:customStyle="1" w:styleId="DiagramaDiagrama9">
    <w:name w:val="Diagrama Diagrama9"/>
    <w:rsid w:val="00EF3CC3"/>
    <w:rPr>
      <w:sz w:val="24"/>
      <w:lang w:eastAsia="en-US"/>
    </w:rPr>
  </w:style>
  <w:style w:type="character" w:customStyle="1" w:styleId="DiagramaDiagrama2">
    <w:name w:val="Diagrama Diagrama2"/>
    <w:rsid w:val="00EF3CC3"/>
    <w:rPr>
      <w:b/>
      <w:bCs/>
      <w:sz w:val="24"/>
      <w:szCs w:val="24"/>
      <w:lang w:eastAsia="en-US"/>
    </w:rPr>
  </w:style>
  <w:style w:type="character" w:customStyle="1" w:styleId="DiagramaDiagrama5">
    <w:name w:val="Diagrama Diagrama5"/>
    <w:rsid w:val="00EF3CC3"/>
    <w:rPr>
      <w:b/>
      <w:bCs/>
      <w:sz w:val="24"/>
      <w:szCs w:val="24"/>
      <w:lang w:val="en-US" w:eastAsia="en-US"/>
    </w:rPr>
  </w:style>
  <w:style w:type="character" w:customStyle="1" w:styleId="DiagramaDiagrama1">
    <w:name w:val="Diagrama Diagrama1"/>
    <w:rsid w:val="00EF3CC3"/>
    <w:rPr>
      <w:rFonts w:ascii="Tahoma" w:hAnsi="Tahoma" w:cs="Tahoma"/>
      <w:sz w:val="16"/>
      <w:szCs w:val="16"/>
      <w:lang w:eastAsia="en-US"/>
    </w:rPr>
  </w:style>
  <w:style w:type="character" w:customStyle="1" w:styleId="DiagramaDiagrama4">
    <w:name w:val="Diagrama Diagrama4"/>
    <w:rsid w:val="00EF3CC3"/>
    <w:rPr>
      <w:sz w:val="24"/>
      <w:lang w:eastAsia="en-US"/>
    </w:rPr>
  </w:style>
  <w:style w:type="character" w:customStyle="1" w:styleId="DiagramaDiagrama3">
    <w:name w:val="Diagrama Diagrama3"/>
    <w:rsid w:val="00EF3CC3"/>
    <w:rPr>
      <w:b/>
      <w:bCs/>
      <w:sz w:val="24"/>
      <w:szCs w:val="24"/>
      <w:lang w:val="en-US" w:eastAsia="en-US"/>
    </w:rPr>
  </w:style>
  <w:style w:type="paragraph" w:styleId="HTMLiankstoformatuotas">
    <w:name w:val="HTML Preformatted"/>
    <w:basedOn w:val="prastasis"/>
    <w:link w:val="HTMLiankstoformatuotasDiagrama"/>
    <w:rsid w:val="00EF3C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rsid w:val="00EF3CC3"/>
    <w:rPr>
      <w:rFonts w:ascii="Courier New" w:hAnsi="Courier New" w:cs="Courier New"/>
    </w:rPr>
  </w:style>
  <w:style w:type="paragraph" w:customStyle="1" w:styleId="Diagrama">
    <w:name w:val="Diagrama"/>
    <w:basedOn w:val="prastasis"/>
    <w:rsid w:val="00EF3CC3"/>
    <w:pPr>
      <w:spacing w:after="160" w:line="240" w:lineRule="exact"/>
    </w:pPr>
    <w:rPr>
      <w:rFonts w:ascii="Tahoma" w:hAnsi="Tahoma"/>
      <w:sz w:val="20"/>
      <w:lang w:val="en-US"/>
    </w:rPr>
  </w:style>
  <w:style w:type="paragraph" w:customStyle="1" w:styleId="CharChar1">
    <w:name w:val="Char Char1"/>
    <w:basedOn w:val="prastasis"/>
    <w:rsid w:val="00EF3CC3"/>
    <w:pPr>
      <w:spacing w:after="160" w:line="240" w:lineRule="exact"/>
    </w:pPr>
    <w:rPr>
      <w:rFonts w:ascii="Tahoma" w:hAnsi="Tahoma"/>
      <w:sz w:val="20"/>
      <w:lang w:val="en-US"/>
    </w:rPr>
  </w:style>
  <w:style w:type="character" w:customStyle="1" w:styleId="normal-h">
    <w:name w:val="normal-h"/>
    <w:basedOn w:val="Numatytasispastraiposriftas"/>
    <w:rsid w:val="00EF3CC3"/>
  </w:style>
  <w:style w:type="paragraph" w:customStyle="1" w:styleId="Numeruotas">
    <w:name w:val="Numeruotas"/>
    <w:basedOn w:val="prastasis"/>
    <w:rsid w:val="00EF3CC3"/>
    <w:pPr>
      <w:numPr>
        <w:numId w:val="10"/>
      </w:numPr>
      <w:spacing w:before="60"/>
      <w:jc w:val="both"/>
    </w:pPr>
    <w:rPr>
      <w:szCs w:val="24"/>
    </w:rPr>
  </w:style>
  <w:style w:type="paragraph" w:customStyle="1" w:styleId="StiliusAntrat3TimesNewRoman12ptPabraukimasPirmojieil">
    <w:name w:val="Stilius Antraštė 3 + Times New Roman 12 pt Pabraukimas Pirmoji eil..."/>
    <w:basedOn w:val="Antrat3"/>
    <w:rsid w:val="00EF3CC3"/>
    <w:pPr>
      <w:spacing w:before="240" w:after="60"/>
      <w:jc w:val="left"/>
    </w:pPr>
    <w:rPr>
      <w:bCs/>
      <w:szCs w:val="20"/>
      <w:u w:val="single"/>
    </w:rPr>
  </w:style>
  <w:style w:type="paragraph" w:customStyle="1" w:styleId="NormalParagraphStyle">
    <w:name w:val="NormalParagraphStyle"/>
    <w:basedOn w:val="prastasis"/>
    <w:rsid w:val="00EF3CC3"/>
    <w:pPr>
      <w:suppressAutoHyphens/>
      <w:autoSpaceDE w:val="0"/>
      <w:autoSpaceDN w:val="0"/>
      <w:adjustRightInd w:val="0"/>
      <w:spacing w:line="288" w:lineRule="auto"/>
      <w:textAlignment w:val="center"/>
    </w:pPr>
    <w:rPr>
      <w:color w:val="000000"/>
      <w:szCs w:val="24"/>
      <w:lang w:val="en-US"/>
    </w:rPr>
  </w:style>
  <w:style w:type="paragraph" w:customStyle="1" w:styleId="Preformatted">
    <w:name w:val="Preformatted"/>
    <w:basedOn w:val="prastasis"/>
    <w:rsid w:val="00EF3CC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MAZAS">
    <w:name w:val="MAZAS"/>
    <w:basedOn w:val="prastasis"/>
    <w:rsid w:val="00EF3CC3"/>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reformatted0">
    <w:name w:val="preformatted"/>
    <w:basedOn w:val="prastasis"/>
    <w:rsid w:val="00EF3CC3"/>
    <w:pPr>
      <w:snapToGrid w:val="0"/>
    </w:pPr>
    <w:rPr>
      <w:rFonts w:ascii="Courier New" w:hAnsi="Courier New" w:cs="Courier New"/>
      <w:sz w:val="20"/>
    </w:rPr>
  </w:style>
  <w:style w:type="character" w:customStyle="1" w:styleId="msoins0">
    <w:name w:val="msoins"/>
    <w:rsid w:val="00EF3CC3"/>
    <w:rPr>
      <w:color w:val="008080"/>
      <w:u w:val="single"/>
    </w:rPr>
  </w:style>
  <w:style w:type="paragraph" w:customStyle="1" w:styleId="normalparagraphstyle0">
    <w:name w:val="normalparagraphstyle"/>
    <w:basedOn w:val="prastasis"/>
    <w:rsid w:val="00EF3CC3"/>
    <w:pPr>
      <w:autoSpaceDE w:val="0"/>
      <w:autoSpaceDN w:val="0"/>
      <w:spacing w:line="288" w:lineRule="auto"/>
    </w:pPr>
    <w:rPr>
      <w:color w:val="000000"/>
      <w:szCs w:val="24"/>
    </w:rPr>
  </w:style>
  <w:style w:type="paragraph" w:customStyle="1" w:styleId="CharDiagramaDiagramaDiagramaDiagrama">
    <w:name w:val="Char Diagrama Diagrama Diagrama Diagrama"/>
    <w:basedOn w:val="prastasis"/>
    <w:rsid w:val="00EF3CC3"/>
    <w:pPr>
      <w:spacing w:after="160" w:line="240" w:lineRule="exact"/>
    </w:pPr>
    <w:rPr>
      <w:rFonts w:ascii="Tahoma" w:hAnsi="Tahoma"/>
      <w:sz w:val="20"/>
      <w:lang w:val="en-US"/>
    </w:rPr>
  </w:style>
  <w:style w:type="paragraph" w:styleId="Betarp">
    <w:name w:val="No Spacing"/>
    <w:qFormat/>
    <w:rsid w:val="00EF3CC3"/>
    <w:rPr>
      <w:rFonts w:eastAsia="Calibri"/>
      <w:sz w:val="24"/>
      <w:szCs w:val="24"/>
    </w:rPr>
  </w:style>
  <w:style w:type="character" w:styleId="Grietas">
    <w:name w:val="Strong"/>
    <w:qFormat/>
    <w:rsid w:val="00EF3CC3"/>
    <w:rPr>
      <w:rFonts w:cs="Times New Roman"/>
      <w:b/>
      <w:bCs/>
    </w:rPr>
  </w:style>
  <w:style w:type="character" w:customStyle="1" w:styleId="Neapdorotaspaminjimas1">
    <w:name w:val="Neapdorotas paminėjimas1"/>
    <w:rsid w:val="00EF3C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360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4</TotalTime>
  <Pages>4</Pages>
  <Words>4117</Words>
  <Characters>2348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4</cp:revision>
  <cp:lastPrinted>2022-01-17T06:27:00Z</cp:lastPrinted>
  <dcterms:created xsi:type="dcterms:W3CDTF">2022-01-17T08:56:00Z</dcterms:created>
  <dcterms:modified xsi:type="dcterms:W3CDTF">2022-01-17T09:01:00Z</dcterms:modified>
</cp:coreProperties>
</file>