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655DE3" w:rsidRPr="00B61EA7" w14:paraId="3185833C" w14:textId="77777777" w:rsidTr="00707346"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6E97F614" w14:textId="77777777" w:rsidR="00655DE3" w:rsidRPr="00193DCC" w:rsidRDefault="00655DE3" w:rsidP="003643B3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193DCC">
              <w:rPr>
                <w:b/>
                <w:bCs/>
                <w:noProof/>
                <w:spacing w:val="20"/>
                <w:sz w:val="26"/>
                <w:szCs w:val="26"/>
              </w:rPr>
              <w:drawing>
                <wp:inline distT="0" distB="0" distL="0" distR="0" wp14:anchorId="09CCDE98" wp14:editId="1384300F">
                  <wp:extent cx="525780" cy="6248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248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C8548D" w14:textId="77777777" w:rsidR="00655DE3" w:rsidRPr="00193DCC" w:rsidRDefault="00655DE3" w:rsidP="003643B3">
            <w:pPr>
              <w:pStyle w:val="TableContents"/>
              <w:spacing w:before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 w:rsidRPr="00193DCC">
              <w:rPr>
                <w:b/>
                <w:bCs/>
                <w:spacing w:val="20"/>
                <w:sz w:val="28"/>
                <w:szCs w:val="28"/>
              </w:rPr>
              <w:t>VALSTYBINĖ SAUGOMŲ TERITORIJŲ TARNYBA</w:t>
            </w:r>
          </w:p>
          <w:p w14:paraId="5E6085A7" w14:textId="77777777" w:rsidR="00655DE3" w:rsidRPr="00193DCC" w:rsidRDefault="00655DE3" w:rsidP="003643B3">
            <w:pPr>
              <w:pStyle w:val="TableContents"/>
              <w:spacing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193DCC">
              <w:rPr>
                <w:b/>
                <w:bCs/>
                <w:spacing w:val="20"/>
                <w:sz w:val="28"/>
                <w:szCs w:val="28"/>
              </w:rPr>
              <w:t>PRIE APLINKOS MINISTERIJOS</w:t>
            </w:r>
          </w:p>
          <w:p w14:paraId="37F44F1B" w14:textId="0914BF79" w:rsidR="00655DE3" w:rsidRPr="00883AC3" w:rsidRDefault="00655DE3" w:rsidP="003643B3">
            <w:pPr>
              <w:pStyle w:val="TableContents"/>
              <w:jc w:val="center"/>
              <w:rPr>
                <w:rFonts w:ascii="Arial" w:hAnsi="Arial" w:cs="Arial"/>
                <w:b/>
                <w:bCs/>
                <w:spacing w:val="12"/>
                <w:sz w:val="14"/>
                <w:szCs w:val="14"/>
              </w:rPr>
            </w:pPr>
            <w:r w:rsidRPr="00883AC3">
              <w:rPr>
                <w:rFonts w:ascii="Arial" w:hAnsi="Arial" w:cs="Arial"/>
                <w:b/>
                <w:bCs/>
                <w:spacing w:val="12"/>
                <w:sz w:val="14"/>
                <w:szCs w:val="14"/>
              </w:rPr>
              <w:t>Biudžetinė įstaiga, Antakalnio g. 25, LT-10312 Vilnius</w:t>
            </w:r>
            <w:r w:rsidR="008D7EDD" w:rsidRPr="00883AC3">
              <w:rPr>
                <w:rFonts w:ascii="Arial" w:hAnsi="Arial" w:cs="Arial"/>
                <w:b/>
                <w:bCs/>
                <w:spacing w:val="12"/>
                <w:sz w:val="14"/>
                <w:szCs w:val="14"/>
              </w:rPr>
              <w:t>,</w:t>
            </w:r>
          </w:p>
          <w:p w14:paraId="328B86D1" w14:textId="50BB355A" w:rsidR="00655DE3" w:rsidRPr="009D207D" w:rsidRDefault="00655DE3" w:rsidP="003643B3">
            <w:pPr>
              <w:pStyle w:val="TableContents"/>
              <w:jc w:val="center"/>
              <w:rPr>
                <w:rFonts w:ascii="Arial" w:hAnsi="Arial" w:cs="Arial"/>
                <w:b/>
                <w:bCs/>
                <w:spacing w:val="12"/>
                <w:sz w:val="14"/>
                <w:szCs w:val="14"/>
              </w:rPr>
            </w:pPr>
            <w:r w:rsidRPr="00883AC3">
              <w:rPr>
                <w:rFonts w:ascii="Arial" w:hAnsi="Arial" w:cs="Arial"/>
                <w:b/>
                <w:bCs/>
                <w:spacing w:val="12"/>
                <w:sz w:val="14"/>
                <w:szCs w:val="14"/>
              </w:rPr>
              <w:t xml:space="preserve">tel. (8 5) 272 3284, el. p. vstt@vstt.lt, </w:t>
            </w:r>
            <w:r w:rsidR="006E2FD3" w:rsidRPr="006E2FD3">
              <w:rPr>
                <w:rFonts w:ascii="Arial" w:hAnsi="Arial" w:cs="Arial"/>
                <w:b/>
                <w:bCs/>
                <w:sz w:val="14"/>
                <w:szCs w:val="14"/>
              </w:rPr>
              <w:t>https://vstt.lrv.lt/</w:t>
            </w:r>
          </w:p>
          <w:p w14:paraId="2DBFC8C2" w14:textId="7D5A3F8D" w:rsidR="00655DE3" w:rsidRPr="00193DCC" w:rsidRDefault="00655DE3" w:rsidP="003643B3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 w:rsidRPr="00883AC3">
              <w:rPr>
                <w:rFonts w:ascii="Arial" w:hAnsi="Arial" w:cs="Arial"/>
                <w:b/>
                <w:bCs/>
                <w:spacing w:val="12"/>
                <w:sz w:val="14"/>
                <w:szCs w:val="14"/>
              </w:rPr>
              <w:t>Duomenys kaupiami ir saugomi Juridinių asmenų registre, kodas 188724381</w:t>
            </w:r>
            <w:bookmarkEnd w:id="0"/>
          </w:p>
        </w:tc>
      </w:tr>
    </w:tbl>
    <w:p w14:paraId="3A947F18" w14:textId="3F8DA58A" w:rsidR="00F70659" w:rsidRDefault="00F70659" w:rsidP="00707346">
      <w:pPr>
        <w:ind w:left="142"/>
      </w:pPr>
    </w:p>
    <w:p w14:paraId="17709FF8" w14:textId="77777777" w:rsidR="00791DE4" w:rsidRPr="00655DE3" w:rsidRDefault="00FE6BA8" w:rsidP="00791DE4">
      <w:pPr>
        <w:tabs>
          <w:tab w:val="right" w:pos="9071"/>
        </w:tabs>
      </w:pPr>
      <w:r>
        <w:t xml:space="preserve"> 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817"/>
        <w:gridCol w:w="236"/>
        <w:gridCol w:w="1576"/>
        <w:gridCol w:w="709"/>
        <w:gridCol w:w="2382"/>
        <w:gridCol w:w="27"/>
      </w:tblGrid>
      <w:tr w:rsidR="00791DE4" w:rsidRPr="00B61EA7" w14:paraId="48C00313" w14:textId="77777777" w:rsidTr="00BB38ED">
        <w:trPr>
          <w:gridAfter w:val="1"/>
          <w:wAfter w:w="27" w:type="dxa"/>
          <w:trHeight w:val="340"/>
        </w:trPr>
        <w:tc>
          <w:tcPr>
            <w:tcW w:w="4817" w:type="dxa"/>
            <w:vMerge w:val="restart"/>
            <w:shd w:val="clear" w:color="auto" w:fill="auto"/>
          </w:tcPr>
          <w:p w14:paraId="56B59FAC" w14:textId="1DE9503E" w:rsidR="00791DE4" w:rsidRPr="00943E70" w:rsidRDefault="00880D30" w:rsidP="00BB38ED">
            <w:pPr>
              <w:pStyle w:val="TableContents"/>
            </w:pPr>
            <w:r>
              <w:t xml:space="preserve">Adresatams </w:t>
            </w:r>
            <w:r w:rsidR="00791DE4">
              <w:t>pagal sąrašą</w:t>
            </w:r>
          </w:p>
        </w:tc>
        <w:tc>
          <w:tcPr>
            <w:tcW w:w="236" w:type="dxa"/>
            <w:shd w:val="clear" w:color="auto" w:fill="auto"/>
          </w:tcPr>
          <w:p w14:paraId="10BB6B45" w14:textId="77777777" w:rsidR="00791DE4" w:rsidRPr="00193DCC" w:rsidRDefault="00791DE4" w:rsidP="00BB38ED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576" w:type="dxa"/>
            <w:shd w:val="clear" w:color="auto" w:fill="auto"/>
          </w:tcPr>
          <w:p w14:paraId="010EEB1F" w14:textId="4CBD410F" w:rsidR="00791DE4" w:rsidRPr="0009139E" w:rsidRDefault="00791DE4" w:rsidP="00BB38ED">
            <w:pPr>
              <w:pStyle w:val="TableContents"/>
              <w:ind w:right="67"/>
            </w:pPr>
            <w:r>
              <w:t>2021-0</w:t>
            </w:r>
            <w:r w:rsidR="009C292C">
              <w:t>6</w:t>
            </w: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45EA874" w14:textId="77777777" w:rsidR="00791DE4" w:rsidRPr="00193DCC" w:rsidRDefault="00791DE4" w:rsidP="00BB38ED">
            <w:pPr>
              <w:ind w:right="67"/>
              <w:jc w:val="center"/>
              <w:rPr>
                <w:spacing w:val="10"/>
              </w:rPr>
            </w:pPr>
            <w:r w:rsidRPr="00193DCC">
              <w:rPr>
                <w:spacing w:val="10"/>
              </w:rPr>
              <w:t>Nr.</w:t>
            </w:r>
          </w:p>
        </w:tc>
        <w:tc>
          <w:tcPr>
            <w:tcW w:w="2382" w:type="dxa"/>
            <w:shd w:val="clear" w:color="auto" w:fill="auto"/>
          </w:tcPr>
          <w:p w14:paraId="2E7139B8" w14:textId="77777777" w:rsidR="00791DE4" w:rsidRPr="00B61EA7" w:rsidRDefault="00791DE4" w:rsidP="00BB38ED">
            <w:pPr>
              <w:pStyle w:val="TableContents"/>
              <w:ind w:right="67"/>
            </w:pPr>
            <w:r>
              <w:t>(2)-V3-       (11.1Mr.)</w:t>
            </w:r>
          </w:p>
        </w:tc>
      </w:tr>
      <w:tr w:rsidR="00791DE4" w:rsidRPr="006C0975" w14:paraId="4FE44117" w14:textId="77777777" w:rsidTr="00BB38ED">
        <w:trPr>
          <w:trHeight w:val="874"/>
        </w:trPr>
        <w:tc>
          <w:tcPr>
            <w:tcW w:w="4817" w:type="dxa"/>
            <w:vMerge/>
            <w:shd w:val="clear" w:color="auto" w:fill="auto"/>
          </w:tcPr>
          <w:p w14:paraId="0942CD14" w14:textId="77777777" w:rsidR="00791DE4" w:rsidRPr="00B61EA7" w:rsidRDefault="00791DE4" w:rsidP="00BB38ED"/>
        </w:tc>
        <w:tc>
          <w:tcPr>
            <w:tcW w:w="236" w:type="dxa"/>
            <w:shd w:val="clear" w:color="auto" w:fill="auto"/>
          </w:tcPr>
          <w:p w14:paraId="62C239E7" w14:textId="77777777" w:rsidR="00791DE4" w:rsidRPr="006C0975" w:rsidRDefault="00791DE4" w:rsidP="00BB38ED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576" w:type="dxa"/>
            <w:shd w:val="clear" w:color="auto" w:fill="auto"/>
          </w:tcPr>
          <w:p w14:paraId="50343141" w14:textId="77777777" w:rsidR="00791DE4" w:rsidRPr="006C0975" w:rsidRDefault="00791DE4" w:rsidP="00BB38ED">
            <w:pPr>
              <w:pStyle w:val="TableContents"/>
              <w:ind w:right="67"/>
            </w:pPr>
          </w:p>
        </w:tc>
        <w:tc>
          <w:tcPr>
            <w:tcW w:w="709" w:type="dxa"/>
            <w:shd w:val="clear" w:color="auto" w:fill="auto"/>
          </w:tcPr>
          <w:p w14:paraId="7D525863" w14:textId="77777777" w:rsidR="00791DE4" w:rsidRDefault="00791DE4" w:rsidP="00BB38ED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  <w:p w14:paraId="5B15BCA2" w14:textId="77777777" w:rsidR="00791DE4" w:rsidRPr="006C0975" w:rsidRDefault="00791DE4" w:rsidP="00BB38ED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6BF277A1" w14:textId="77777777" w:rsidR="00791DE4" w:rsidRPr="006C0975" w:rsidRDefault="00791DE4" w:rsidP="00BB38ED">
            <w:pPr>
              <w:pStyle w:val="TableContents"/>
              <w:tabs>
                <w:tab w:val="left" w:pos="2052"/>
              </w:tabs>
              <w:ind w:right="67"/>
            </w:pPr>
          </w:p>
        </w:tc>
      </w:tr>
      <w:tr w:rsidR="00791DE4" w:rsidRPr="006C0975" w14:paraId="19551615" w14:textId="77777777" w:rsidTr="00BB38ED">
        <w:trPr>
          <w:gridAfter w:val="1"/>
          <w:wAfter w:w="27" w:type="dxa"/>
          <w:trHeight w:val="347"/>
        </w:trPr>
        <w:tc>
          <w:tcPr>
            <w:tcW w:w="9720" w:type="dxa"/>
            <w:gridSpan w:val="5"/>
            <w:shd w:val="clear" w:color="auto" w:fill="auto"/>
          </w:tcPr>
          <w:p w14:paraId="02A1F4E3" w14:textId="7050A19C" w:rsidR="00791DE4" w:rsidRDefault="00791DE4" w:rsidP="00E827A9">
            <w:pPr>
              <w:pStyle w:val="TableContents"/>
              <w:jc w:val="both"/>
              <w:rPr>
                <w:b/>
                <w:caps/>
              </w:rPr>
            </w:pPr>
            <w:r w:rsidRPr="006C0975">
              <w:rPr>
                <w:b/>
                <w:caps/>
              </w:rPr>
              <w:t>DĖL</w:t>
            </w:r>
            <w:r>
              <w:rPr>
                <w:b/>
                <w:caps/>
              </w:rPr>
              <w:t xml:space="preserve"> PROJEKTO NR. 05.4.1-apva-v-016-01-0009 </w:t>
            </w:r>
            <w:r w:rsidRPr="00750FC0">
              <w:rPr>
                <w:b/>
                <w:bCs/>
              </w:rPr>
              <w:t>„KRAŠTOVAIZDŽIO VERTYBIŲ APSAUGA IR PRITAIKYMAS PAŽINTI (II)“</w:t>
            </w:r>
            <w:r w:rsidR="009C292C">
              <w:rPr>
                <w:b/>
                <w:bCs/>
              </w:rPr>
              <w:t xml:space="preserve"> </w:t>
            </w:r>
            <w:r w:rsidR="003A3382">
              <w:rPr>
                <w:b/>
                <w:bCs/>
              </w:rPr>
              <w:t>VEIKLOS „</w:t>
            </w:r>
            <w:r w:rsidR="00E827A9" w:rsidRPr="003D1E60">
              <w:rPr>
                <w:b/>
              </w:rPr>
              <w:t>KELIO ŽENKLŲ PROJEKTAVIM</w:t>
            </w:r>
            <w:r w:rsidR="00E827A9">
              <w:rPr>
                <w:b/>
              </w:rPr>
              <w:t>AS</w:t>
            </w:r>
            <w:r w:rsidR="00E827A9" w:rsidRPr="003D1E60">
              <w:rPr>
                <w:b/>
              </w:rPr>
              <w:t xml:space="preserve"> IR ĮRENGIM</w:t>
            </w:r>
            <w:r w:rsidR="00E827A9">
              <w:rPr>
                <w:b/>
              </w:rPr>
              <w:t>AS</w:t>
            </w:r>
            <w:r w:rsidR="00E827A9" w:rsidRPr="003D1E60">
              <w:rPr>
                <w:b/>
              </w:rPr>
              <w:t xml:space="preserve"> SAUGOMOSE TERITORIJOSE PRIE VIETINĖS REIKŠMĖS KELIŲ</w:t>
            </w:r>
            <w:r w:rsidR="003A3382">
              <w:rPr>
                <w:b/>
                <w:bCs/>
              </w:rPr>
              <w:t xml:space="preserve">“ ĮGYVENDINIMO </w:t>
            </w:r>
          </w:p>
          <w:p w14:paraId="1A3C60AA" w14:textId="77777777" w:rsidR="00791DE4" w:rsidRPr="006C0975" w:rsidRDefault="00791DE4" w:rsidP="00BB38ED">
            <w:pPr>
              <w:pStyle w:val="TableContents"/>
              <w:rPr>
                <w:b/>
                <w:caps/>
              </w:rPr>
            </w:pPr>
          </w:p>
        </w:tc>
      </w:tr>
    </w:tbl>
    <w:p w14:paraId="703CD035" w14:textId="77777777" w:rsidR="00791DE4" w:rsidRDefault="00791DE4" w:rsidP="00791DE4">
      <w:pPr>
        <w:pStyle w:val="TableContents"/>
        <w:tabs>
          <w:tab w:val="left" w:pos="567"/>
        </w:tabs>
        <w:spacing w:line="276" w:lineRule="auto"/>
        <w:ind w:firstLine="680"/>
        <w:jc w:val="both"/>
      </w:pPr>
    </w:p>
    <w:p w14:paraId="680C8460" w14:textId="25A2C303" w:rsidR="00791DE4" w:rsidRDefault="00791DE4" w:rsidP="00791DE4">
      <w:pPr>
        <w:pStyle w:val="TableContents"/>
        <w:tabs>
          <w:tab w:val="left" w:pos="567"/>
        </w:tabs>
        <w:spacing w:line="276" w:lineRule="auto"/>
        <w:ind w:right="-613" w:firstLine="680"/>
        <w:jc w:val="both"/>
      </w:pPr>
      <w:r>
        <w:t>Valstybinė saugomų teritorijų tarnyba prie Aplinkos ministerijos (toliau – Projekto vykdytojas; Tarnyba)</w:t>
      </w:r>
      <w:r w:rsidR="00E827A9">
        <w:t xml:space="preserve"> vykdo </w:t>
      </w:r>
      <w:r>
        <w:t>2014 – 2020 m. Europos Sąjungos investicijų veiksmų programos projektą „Kraštovaizdžio vertybių apsauga ir pritaikymas pažinti (II)“ (toliau</w:t>
      </w:r>
      <w:r w:rsidR="00E63588">
        <w:t xml:space="preserve"> </w:t>
      </w:r>
      <w:r>
        <w:t xml:space="preserve"> – </w:t>
      </w:r>
      <w:r w:rsidR="00E63588">
        <w:t xml:space="preserve"> </w:t>
      </w:r>
      <w:r>
        <w:t xml:space="preserve">Projektas), Nr. </w:t>
      </w:r>
      <w:r w:rsidRPr="009077F1">
        <w:t>05.4.1-APVA-V-016-01-0009</w:t>
      </w:r>
      <w:r w:rsidR="00E827A9">
        <w:t xml:space="preserve">, kuriame numatytas </w:t>
      </w:r>
      <w:r w:rsidR="00E827A9" w:rsidRPr="00E827A9">
        <w:t>veiklos „</w:t>
      </w:r>
      <w:r w:rsidR="00E827A9">
        <w:t>K</w:t>
      </w:r>
      <w:r w:rsidR="00E827A9" w:rsidRPr="00E827A9">
        <w:t>elio ženklų projektavimas ir įrengimas saugomose teritorijose prie vietinės reikšmės kelių“</w:t>
      </w:r>
      <w:r w:rsidR="009C292C">
        <w:t xml:space="preserve"> (Toliau - Veikla)</w:t>
      </w:r>
      <w:r w:rsidR="00E827A9" w:rsidRPr="00E827A9">
        <w:t xml:space="preserve"> įgyvendinim</w:t>
      </w:r>
      <w:r w:rsidR="00E827A9">
        <w:t>as.</w:t>
      </w:r>
      <w:r w:rsidR="009C292C">
        <w:t xml:space="preserve"> Veiklos tikslas</w:t>
      </w:r>
      <w:r w:rsidR="00BA16D2">
        <w:t xml:space="preserve"> </w:t>
      </w:r>
      <w:r w:rsidR="009C292C">
        <w:t xml:space="preserve">- </w:t>
      </w:r>
      <w:r w:rsidR="00336CB7">
        <w:t>u</w:t>
      </w:r>
      <w:r w:rsidR="009C292C" w:rsidRPr="003D1E60">
        <w:t>žtikrinti informacijos apie saugomas teritorijas pateikimą vietinės reikšmės keliuose, įrengiant informacinius kelio ženklus: Nr. 628 „Krypties rodyklė į lankytiną vietą“ ir Nr. 629 „Lankytinos vietos pavadinimas“ saugomose teritorijose.</w:t>
      </w:r>
      <w:r w:rsidR="00D7146A">
        <w:t xml:space="preserve"> </w:t>
      </w:r>
      <w:r w:rsidR="009C292C">
        <w:t>Pagal</w:t>
      </w:r>
      <w:r w:rsidR="008C7652">
        <w:t xml:space="preserve"> saugomų teritorijų direkcijų</w:t>
      </w:r>
      <w:r w:rsidR="00CF33C2">
        <w:t xml:space="preserve"> (toliau - Direkcijos)</w:t>
      </w:r>
      <w:r w:rsidR="008C7652">
        <w:t xml:space="preserve"> pateiktus duomenis</w:t>
      </w:r>
      <w:r w:rsidR="006A1929">
        <w:t xml:space="preserve">, </w:t>
      </w:r>
      <w:r w:rsidR="008C7652">
        <w:t>planuojama naujai įrengti</w:t>
      </w:r>
      <w:r w:rsidR="00CF33C2">
        <w:t xml:space="preserve"> ir/ar </w:t>
      </w:r>
      <w:r w:rsidR="008C7652">
        <w:t>pakeisti</w:t>
      </w:r>
      <w:r w:rsidR="00CF33C2">
        <w:t xml:space="preserve"> apie</w:t>
      </w:r>
      <w:r w:rsidR="008C7652">
        <w:t xml:space="preserve"> </w:t>
      </w:r>
      <w:r w:rsidR="00CF33C2">
        <w:t xml:space="preserve">1131 </w:t>
      </w:r>
      <w:r w:rsidR="008C7652">
        <w:t>ženkl</w:t>
      </w:r>
      <w:r w:rsidR="006074AC">
        <w:t>ą</w:t>
      </w:r>
      <w:r w:rsidR="008C7652">
        <w:t xml:space="preserve"> </w:t>
      </w:r>
      <w:r w:rsidR="00CF33C2">
        <w:t>prie vietinės reikšmės kelių</w:t>
      </w:r>
      <w:r w:rsidR="00BA16D2">
        <w:t xml:space="preserve"> (</w:t>
      </w:r>
      <w:r w:rsidR="00A00D65">
        <w:t>1 priedas</w:t>
      </w:r>
      <w:r w:rsidR="00BA16D2">
        <w:t>)</w:t>
      </w:r>
      <w:r w:rsidR="00CF33C2">
        <w:t>.</w:t>
      </w:r>
      <w:r w:rsidR="006074AC">
        <w:t xml:space="preserve"> Pridedamame 1 priede rasite visą reikalingą informaciją apie</w:t>
      </w:r>
      <w:r w:rsidR="001E161B">
        <w:t xml:space="preserve"> įrengiamus ženklus: savivaldybė, </w:t>
      </w:r>
      <w:r w:rsidR="001F5883">
        <w:t>D</w:t>
      </w:r>
      <w:r w:rsidR="001E161B">
        <w:t>irekcija, ženkle pateikiama informacija, ženklo koordinatės</w:t>
      </w:r>
      <w:r w:rsidR="0006015E">
        <w:t>, ar ženklas patenka į kultūros paveldo teritoriją ir pan.</w:t>
      </w:r>
      <w:r w:rsidR="00426164">
        <w:t xml:space="preserve"> </w:t>
      </w:r>
      <w:r w:rsidR="00FE58D4">
        <w:t xml:space="preserve">Dėl didelio ženklų kiekio, </w:t>
      </w:r>
      <w:r w:rsidR="006A1929">
        <w:t>Projekto vykdytojo</w:t>
      </w:r>
      <w:r w:rsidR="00A21137">
        <w:t xml:space="preserve"> </w:t>
      </w:r>
      <w:r w:rsidR="006A1929">
        <w:t>paskelbtame</w:t>
      </w:r>
      <w:r w:rsidR="00A21137">
        <w:t xml:space="preserve"> Veiklos</w:t>
      </w:r>
      <w:r w:rsidR="006A1929">
        <w:t xml:space="preserve"> viešajame </w:t>
      </w:r>
      <w:r w:rsidR="00BA16D2">
        <w:t>pirkim</w:t>
      </w:r>
      <w:r w:rsidR="006A1929">
        <w:t>e,</w:t>
      </w:r>
      <w:r w:rsidR="00FE58D4">
        <w:t xml:space="preserve"> </w:t>
      </w:r>
      <w:r w:rsidR="00A21137">
        <w:t>pirkimo objektas suskirstytas į keturias dalis pagal regionus: pietų, rytų, vakarų ir vidurio</w:t>
      </w:r>
      <w:r w:rsidR="00DB2CCC">
        <w:t xml:space="preserve"> (</w:t>
      </w:r>
      <w:r w:rsidR="00A00D65">
        <w:t>2 priedas</w:t>
      </w:r>
      <w:r w:rsidR="00DB2CCC">
        <w:t>)</w:t>
      </w:r>
      <w:r w:rsidR="00A21137">
        <w:t>, kurioms atskirai Tiekėjas galės teikti pasiūlymą/us.</w:t>
      </w:r>
      <w:r w:rsidR="006E175E">
        <w:t xml:space="preserve"> Suskirstymas į regionus buvo vykdomas, atsižvelgiant į savivaldybių</w:t>
      </w:r>
      <w:r w:rsidR="0070153C">
        <w:t xml:space="preserve"> administracijų</w:t>
      </w:r>
      <w:r w:rsidR="006E175E">
        <w:t xml:space="preserve"> teritorines ribas.</w:t>
      </w:r>
      <w:r w:rsidR="00DB2CCC">
        <w:t xml:space="preserve"> </w:t>
      </w:r>
      <w:r w:rsidR="00A21137">
        <w:t xml:space="preserve"> Projekte yra numatyta, kad įgyvendinus Veiklą, sukurtas turtas turi būti perduotas Projekto partneriui</w:t>
      </w:r>
      <w:r w:rsidR="0070153C">
        <w:t xml:space="preserve">, kuris vykdys tolesnę perimto turto buhalterinę apskaitą, vadovaujantis galiojančiais teisės aktais ir </w:t>
      </w:r>
      <w:r w:rsidR="008D44E3">
        <w:t>P</w:t>
      </w:r>
      <w:r w:rsidR="0070153C">
        <w:t xml:space="preserve">rojekto sutartimi. </w:t>
      </w:r>
      <w:r w:rsidR="006433B1">
        <w:t xml:space="preserve">Atkreipiame dėmesį, kad Jūs esate dalies planuojamų atnaujinti/pakeisti kelio ženklų savininkai. </w:t>
      </w:r>
      <w:r w:rsidR="0070153C">
        <w:t>Todėl prašome Jūsų prisidėti prie Veiklos įgyvendinimo tampant Projekto partneriu</w:t>
      </w:r>
      <w:r w:rsidR="008D44E3">
        <w:t xml:space="preserve">. </w:t>
      </w:r>
      <w:r w:rsidR="0070153C">
        <w:t>Veiklos įgyvendinimas užtikrintų pažintinio turizmo maršrutų funkcionavimą, saugomų teritorijų pažintinės (rekreacinės) vertės padidėjimą.</w:t>
      </w:r>
    </w:p>
    <w:p w14:paraId="5AD2B24D" w14:textId="600F214B" w:rsidR="00655DE3" w:rsidRPr="00655DE3" w:rsidRDefault="00655DE3" w:rsidP="00655DE3"/>
    <w:p w14:paraId="23231C79" w14:textId="77777777" w:rsidR="00F55782" w:rsidRDefault="00F55782" w:rsidP="00F55782">
      <w:pPr>
        <w:ind w:firstLine="567"/>
        <w:jc w:val="both"/>
        <w:rPr>
          <w:color w:val="000000"/>
        </w:rPr>
      </w:pPr>
      <w:r>
        <w:rPr>
          <w:color w:val="000000"/>
        </w:rPr>
        <w:t>PRIDEDAMA:</w:t>
      </w:r>
    </w:p>
    <w:p w14:paraId="150803AF" w14:textId="4CF02CD0" w:rsidR="00F55782" w:rsidRDefault="00F55782" w:rsidP="00F55782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A00D65">
        <w:rPr>
          <w:color w:val="000000"/>
        </w:rPr>
        <w:t xml:space="preserve"> Kelio ženklų kiekių lentelė</w:t>
      </w:r>
      <w:r w:rsidR="0078348A">
        <w:rPr>
          <w:color w:val="000000"/>
        </w:rPr>
        <w:t>s</w:t>
      </w:r>
      <w:r>
        <w:rPr>
          <w:color w:val="000000"/>
        </w:rPr>
        <w:t xml:space="preserve"> </w:t>
      </w:r>
      <w:r w:rsidR="00A00D65">
        <w:rPr>
          <w:color w:val="000000"/>
        </w:rPr>
        <w:t>el. versija</w:t>
      </w:r>
      <w:r w:rsidR="00426164">
        <w:rPr>
          <w:color w:val="000000"/>
        </w:rPr>
        <w:t>.</w:t>
      </w:r>
      <w:r w:rsidR="0078348A">
        <w:rPr>
          <w:color w:val="000000"/>
        </w:rPr>
        <w:t xml:space="preserve"> </w:t>
      </w:r>
    </w:p>
    <w:p w14:paraId="66923D8F" w14:textId="77777777" w:rsidR="00426164" w:rsidRDefault="00F55782" w:rsidP="00426164">
      <w:pPr>
        <w:ind w:firstLine="567"/>
        <w:jc w:val="both"/>
        <w:rPr>
          <w:color w:val="000000"/>
        </w:rPr>
      </w:pPr>
      <w:r>
        <w:rPr>
          <w:color w:val="000000"/>
        </w:rPr>
        <w:t>2.</w:t>
      </w:r>
      <w:r w:rsidR="00A00D65">
        <w:rPr>
          <w:color w:val="000000"/>
        </w:rPr>
        <w:t xml:space="preserve"> Regionų schem</w:t>
      </w:r>
      <w:r w:rsidR="0078348A">
        <w:rPr>
          <w:color w:val="000000"/>
        </w:rPr>
        <w:t>os</w:t>
      </w:r>
      <w:r w:rsidR="00A00D65">
        <w:rPr>
          <w:color w:val="000000"/>
        </w:rPr>
        <w:t xml:space="preserve"> el. versija,</w:t>
      </w:r>
      <w:r>
        <w:rPr>
          <w:color w:val="000000"/>
        </w:rPr>
        <w:t xml:space="preserve"> </w:t>
      </w:r>
      <w:r w:rsidR="00A00D65">
        <w:rPr>
          <w:color w:val="000000"/>
        </w:rPr>
        <w:t>1</w:t>
      </w:r>
      <w:r>
        <w:rPr>
          <w:color w:val="000000"/>
        </w:rPr>
        <w:t xml:space="preserve"> lapa</w:t>
      </w:r>
      <w:r w:rsidR="00A00D65">
        <w:rPr>
          <w:color w:val="000000"/>
        </w:rPr>
        <w:t>s</w:t>
      </w:r>
      <w:r w:rsidR="0078348A">
        <w:rPr>
          <w:color w:val="000000"/>
        </w:rPr>
        <w:t>.</w:t>
      </w:r>
    </w:p>
    <w:p w14:paraId="42A4693D" w14:textId="2A5DABBD" w:rsidR="00655DE3" w:rsidRPr="00426164" w:rsidRDefault="006074AC" w:rsidP="00426164">
      <w:pPr>
        <w:ind w:firstLine="567"/>
        <w:jc w:val="both"/>
        <w:rPr>
          <w:color w:val="000000"/>
        </w:rPr>
      </w:pPr>
      <w:r>
        <w:t xml:space="preserve">3. </w:t>
      </w:r>
      <w:r w:rsidR="00880D30">
        <w:t>Adresatų</w:t>
      </w:r>
      <w:r>
        <w:t xml:space="preserve"> sąraš</w:t>
      </w:r>
      <w:r w:rsidR="006E2276">
        <w:t xml:space="preserve">o </w:t>
      </w:r>
      <w:r>
        <w:t xml:space="preserve">el. versija, </w:t>
      </w:r>
      <w:r w:rsidR="006E2276">
        <w:t>3 lapai.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791DE4" w:rsidRPr="00B61EA7" w14:paraId="591D40F5" w14:textId="77777777" w:rsidTr="00BB38ED">
        <w:trPr>
          <w:trHeight w:val="340"/>
        </w:trPr>
        <w:tc>
          <w:tcPr>
            <w:tcW w:w="4817" w:type="dxa"/>
            <w:vAlign w:val="bottom"/>
          </w:tcPr>
          <w:p w14:paraId="1A4F8A82" w14:textId="77777777" w:rsidR="008D44E3" w:rsidRDefault="008D44E3" w:rsidP="00BB38ED">
            <w:pPr>
              <w:pStyle w:val="TableContents"/>
              <w:spacing w:line="276" w:lineRule="auto"/>
            </w:pPr>
          </w:p>
          <w:p w14:paraId="038F4515" w14:textId="577ABA72" w:rsidR="00791DE4" w:rsidRPr="00B61EA7" w:rsidRDefault="00791DE4" w:rsidP="00BB38ED">
            <w:pPr>
              <w:pStyle w:val="TableContents"/>
              <w:spacing w:line="276" w:lineRule="auto"/>
            </w:pPr>
            <w:r w:rsidRPr="00B61EA7">
              <w:t>Direktor</w:t>
            </w:r>
            <w:r>
              <w:t>ius</w:t>
            </w:r>
          </w:p>
        </w:tc>
        <w:tc>
          <w:tcPr>
            <w:tcW w:w="4826" w:type="dxa"/>
            <w:vAlign w:val="bottom"/>
          </w:tcPr>
          <w:p w14:paraId="2A59FBCA" w14:textId="77777777" w:rsidR="00791DE4" w:rsidRPr="00B61EA7" w:rsidRDefault="00791DE4" w:rsidP="00BB38ED">
            <w:pPr>
              <w:spacing w:line="276" w:lineRule="auto"/>
              <w:ind w:right="34"/>
              <w:jc w:val="right"/>
            </w:pPr>
            <w:r>
              <w:t>Albertas Stanislovaitis</w:t>
            </w:r>
          </w:p>
        </w:tc>
      </w:tr>
    </w:tbl>
    <w:p w14:paraId="77853760" w14:textId="2BF120C5" w:rsidR="008D44E3" w:rsidRDefault="008D44E3" w:rsidP="00791DE4"/>
    <w:p w14:paraId="333A1D17" w14:textId="77777777" w:rsidR="008D44E3" w:rsidRDefault="008D44E3" w:rsidP="00791DE4"/>
    <w:p w14:paraId="39828172" w14:textId="77777777" w:rsidR="00791DE4" w:rsidRPr="000B3E8E" w:rsidRDefault="00791DE4" w:rsidP="00791DE4">
      <w:pPr>
        <w:jc w:val="both"/>
        <w:rPr>
          <w:color w:val="000000"/>
          <w:lang w:val="en-US"/>
        </w:rPr>
      </w:pPr>
      <w:r>
        <w:t xml:space="preserve">Tomas Prelgauskas, (8 659 ) 63288, el.p. </w:t>
      </w:r>
      <w:hyperlink r:id="rId7" w:history="1">
        <w:r w:rsidRPr="005975E8">
          <w:rPr>
            <w:rStyle w:val="Hyperlink"/>
          </w:rPr>
          <w:t>tomas.prelgauskas</w:t>
        </w:r>
        <w:r w:rsidRPr="005975E8">
          <w:rPr>
            <w:rStyle w:val="Hyperlink"/>
            <w:lang w:val="pl-PL"/>
          </w:rPr>
          <w:t>@vstt.lt</w:t>
        </w:r>
      </w:hyperlink>
    </w:p>
    <w:p w14:paraId="685A4A0D" w14:textId="77777777" w:rsidR="003F0D8B" w:rsidRPr="003F0D8B" w:rsidRDefault="003F0D8B" w:rsidP="003F0D8B"/>
    <w:sectPr w:rsidR="003F0D8B" w:rsidRPr="003F0D8B" w:rsidSect="00426164">
      <w:pgSz w:w="11906" w:h="16838"/>
      <w:pgMar w:top="851" w:right="1440" w:bottom="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D69E1" w14:textId="77777777" w:rsidR="00407512" w:rsidRDefault="00407512" w:rsidP="003F0D8B">
      <w:r>
        <w:separator/>
      </w:r>
    </w:p>
  </w:endnote>
  <w:endnote w:type="continuationSeparator" w:id="0">
    <w:p w14:paraId="1461C891" w14:textId="77777777" w:rsidR="00407512" w:rsidRDefault="00407512" w:rsidP="003F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70EBC" w14:textId="77777777" w:rsidR="00407512" w:rsidRDefault="00407512" w:rsidP="003F0D8B">
      <w:r>
        <w:separator/>
      </w:r>
    </w:p>
  </w:footnote>
  <w:footnote w:type="continuationSeparator" w:id="0">
    <w:p w14:paraId="2789FF6C" w14:textId="77777777" w:rsidR="00407512" w:rsidRDefault="00407512" w:rsidP="003F0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E3"/>
    <w:rsid w:val="0006015E"/>
    <w:rsid w:val="000F697F"/>
    <w:rsid w:val="00105344"/>
    <w:rsid w:val="001E161B"/>
    <w:rsid w:val="001F44A6"/>
    <w:rsid w:val="001F5883"/>
    <w:rsid w:val="00206C09"/>
    <w:rsid w:val="00210852"/>
    <w:rsid w:val="00240C32"/>
    <w:rsid w:val="00247434"/>
    <w:rsid w:val="00286CEA"/>
    <w:rsid w:val="00305943"/>
    <w:rsid w:val="00336CB7"/>
    <w:rsid w:val="003A3382"/>
    <w:rsid w:val="003F0D8B"/>
    <w:rsid w:val="00407512"/>
    <w:rsid w:val="00426164"/>
    <w:rsid w:val="00432A04"/>
    <w:rsid w:val="00474414"/>
    <w:rsid w:val="004B160B"/>
    <w:rsid w:val="00516FE7"/>
    <w:rsid w:val="00554767"/>
    <w:rsid w:val="005B78A2"/>
    <w:rsid w:val="006074AC"/>
    <w:rsid w:val="00623DF8"/>
    <w:rsid w:val="00634955"/>
    <w:rsid w:val="0064173F"/>
    <w:rsid w:val="006433B1"/>
    <w:rsid w:val="00655DE3"/>
    <w:rsid w:val="006A1929"/>
    <w:rsid w:val="006E175E"/>
    <w:rsid w:val="006E2276"/>
    <w:rsid w:val="006E2FD3"/>
    <w:rsid w:val="0070153C"/>
    <w:rsid w:val="00707346"/>
    <w:rsid w:val="00707FE0"/>
    <w:rsid w:val="0078348A"/>
    <w:rsid w:val="00791DE4"/>
    <w:rsid w:val="007B6F96"/>
    <w:rsid w:val="00803F6F"/>
    <w:rsid w:val="0084218D"/>
    <w:rsid w:val="00846F24"/>
    <w:rsid w:val="00880D30"/>
    <w:rsid w:val="00883AC3"/>
    <w:rsid w:val="008C7652"/>
    <w:rsid w:val="008D44E3"/>
    <w:rsid w:val="008D4E45"/>
    <w:rsid w:val="008D7EDD"/>
    <w:rsid w:val="00924E9B"/>
    <w:rsid w:val="009C292C"/>
    <w:rsid w:val="009D207D"/>
    <w:rsid w:val="009F3FDC"/>
    <w:rsid w:val="00A00D65"/>
    <w:rsid w:val="00A06055"/>
    <w:rsid w:val="00A0605B"/>
    <w:rsid w:val="00A21137"/>
    <w:rsid w:val="00A7018A"/>
    <w:rsid w:val="00A804FC"/>
    <w:rsid w:val="00AE3749"/>
    <w:rsid w:val="00B2718B"/>
    <w:rsid w:val="00B62998"/>
    <w:rsid w:val="00BA16D2"/>
    <w:rsid w:val="00BB71AC"/>
    <w:rsid w:val="00BC1338"/>
    <w:rsid w:val="00BE7479"/>
    <w:rsid w:val="00C012A0"/>
    <w:rsid w:val="00C22F89"/>
    <w:rsid w:val="00C8794B"/>
    <w:rsid w:val="00CB6D5B"/>
    <w:rsid w:val="00CF33C2"/>
    <w:rsid w:val="00D21CB1"/>
    <w:rsid w:val="00D5098C"/>
    <w:rsid w:val="00D64CB4"/>
    <w:rsid w:val="00D665A3"/>
    <w:rsid w:val="00D7146A"/>
    <w:rsid w:val="00DB2CCC"/>
    <w:rsid w:val="00E27037"/>
    <w:rsid w:val="00E4493B"/>
    <w:rsid w:val="00E6256B"/>
    <w:rsid w:val="00E63588"/>
    <w:rsid w:val="00E827A9"/>
    <w:rsid w:val="00F059E2"/>
    <w:rsid w:val="00F209B2"/>
    <w:rsid w:val="00F24F40"/>
    <w:rsid w:val="00F555A3"/>
    <w:rsid w:val="00F55782"/>
    <w:rsid w:val="00F70659"/>
    <w:rsid w:val="00FE34F8"/>
    <w:rsid w:val="00FE58D4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5D84"/>
  <w15:chartTrackingRefBased/>
  <w15:docId w15:val="{EF806426-2AF5-4A1F-B535-0118B23A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DE3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55DE3"/>
    <w:rPr>
      <w:color w:val="000080"/>
      <w:u w:val="single"/>
    </w:rPr>
  </w:style>
  <w:style w:type="paragraph" w:customStyle="1" w:styleId="TableContents">
    <w:name w:val="Table Contents"/>
    <w:basedOn w:val="Normal"/>
    <w:uiPriority w:val="99"/>
    <w:qFormat/>
    <w:rsid w:val="00655DE3"/>
    <w:pPr>
      <w:suppressLineNumbers/>
    </w:pPr>
  </w:style>
  <w:style w:type="paragraph" w:styleId="BodyTextIndent">
    <w:name w:val="Body Text Indent"/>
    <w:basedOn w:val="Normal"/>
    <w:link w:val="BodyTextIndentChar"/>
    <w:rsid w:val="00655D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55DE3"/>
    <w:rPr>
      <w:rFonts w:ascii="Times New Roman" w:eastAsia="Andale Sans UI" w:hAnsi="Times New Roman" w:cs="Tahoma"/>
      <w:sz w:val="24"/>
      <w:szCs w:val="24"/>
      <w:lang w:bidi="en-US"/>
    </w:rPr>
  </w:style>
  <w:style w:type="character" w:customStyle="1" w:styleId="tableentry">
    <w:name w:val="tableentry"/>
    <w:rsid w:val="00655DE3"/>
  </w:style>
  <w:style w:type="paragraph" w:styleId="Header">
    <w:name w:val="header"/>
    <w:basedOn w:val="Normal"/>
    <w:link w:val="HeaderChar"/>
    <w:uiPriority w:val="99"/>
    <w:unhideWhenUsed/>
    <w:rsid w:val="003F0D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D8B"/>
    <w:rPr>
      <w:rFonts w:ascii="Times New Roman" w:eastAsia="Andale Sans UI" w:hAnsi="Times New Roman" w:cs="Tahoma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F0D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D8B"/>
    <w:rPr>
      <w:rFonts w:ascii="Times New Roman" w:eastAsia="Andale Sans UI" w:hAnsi="Times New Roman" w:cs="Tahoma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607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mas.prelgauskas@vstt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1815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Jodko</dc:creator>
  <cp:keywords/>
  <dc:description/>
  <cp:lastModifiedBy>Tomas Prelgauskas</cp:lastModifiedBy>
  <cp:revision>38</cp:revision>
  <dcterms:created xsi:type="dcterms:W3CDTF">2021-06-14T11:57:00Z</dcterms:created>
  <dcterms:modified xsi:type="dcterms:W3CDTF">2021-06-15T10:24:00Z</dcterms:modified>
</cp:coreProperties>
</file>